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 w:line="276" w:lineRule="auto"/>
        <w:jc w:val="center"/>
      </w:pPr>
      <w:r>
        <w:rPr>
          <w:rFonts w:ascii="Times New Roman" w:cs="Times New Roman" w:eastAsia="Times New Roman" w:hAnsi="Times New Roman"/>
          <w:b w:val="false"/>
          <w:bCs w:val="false"/>
          <w:sz w:val="28"/>
          <w:szCs w:val="28"/>
          <w:lang w:val="uz-Latn-UZ"/>
        </w:rPr>
        <w:t xml:space="preserve">OʻZBEKISTON RESPUBLIKASI</w:t>
      </w:r>
    </w:p>
    <w:p>
      <w:pPr>
        <w:spacing w:after="40" w:before="40" w:line="276" w:lineRule="auto"/>
        <w:jc w:val="center"/>
      </w:pPr>
      <w:r>
        <w:rPr>
          <w:rFonts w:ascii="Times New Roman" w:cs="Times New Roman" w:eastAsia="Times New Roman" w:hAnsi="Times New Roman"/>
          <w:b w:val="false"/>
          <w:bCs w:val="false"/>
          <w:sz w:val="28"/>
          <w:szCs w:val="28"/>
          <w:lang w:val="uz-Latn-UZ"/>
        </w:rPr>
        <w:t xml:space="preserve">OLIY TAʼLIM, FAN VA INNOVATSIYALAR VAZIRLIGI</w:t>
      </w:r>
    </w:p>
    <w:p>
      <w:pPr>
        <w:spacing w:after="40" w:before="40" w:line="276" w:lineRule="auto"/>
        <w:jc w:val="center"/>
      </w:pPr>
      <w:r>
        <w:rPr>
          <w:rFonts w:ascii="Times New Roman" w:cs="Times New Roman" w:eastAsia="Times New Roman" w:hAnsi="Times New Roman"/>
          <w:b/>
          <w:bCs/>
          <w:sz w:val="28"/>
          <w:szCs w:val="28"/>
          <w:lang w:val="uz-Latn-UZ"/>
        </w:rPr>
        <w:t xml:space="preserve">Toshkent davlat iqtisodiyot universiteti</w:t>
      </w:r>
    </w:p>
    <w:p>
      <w:pPr>
        <w:spacing w:after="40" w:before="40" w:line="276" w:lineRule="auto"/>
        <w:jc w:val="center"/>
      </w:pPr>
      <w:r>
        <w:rPr>
          <w:rFonts w:ascii="Times New Roman" w:cs="Times New Roman" w:eastAsia="Times New Roman" w:hAnsi="Times New Roman"/>
          <w:b w:val="false"/>
          <w:bCs w:val="false"/>
          <w:sz w:val="28"/>
          <w:szCs w:val="28"/>
          <w:lang w:val="uz-Latn-UZ"/>
        </w:rPr>
        <w:t xml:space="preserve">Iqtisodiyot fakulteti</w:t>
      </w:r>
    </w:p>
    <w:p>
      <w:r>
        <w:t xml:space="preserve"/>
      </w:r>
    </w:p>
    <w:p>
      <w:pPr>
        <w:spacing w:after="30" w:before="30" w:line="276" w:lineRule="auto"/>
        <w:jc w:val="right"/>
      </w:pPr>
      <w:r>
        <w:rPr>
          <w:rFonts w:ascii="Times New Roman" w:cs="Times New Roman" w:eastAsia="Times New Roman" w:hAnsi="Times New Roman"/>
          <w:b/>
          <w:bCs/>
          <w:sz w:val="28"/>
          <w:szCs w:val="28"/>
          <w:lang w:val="uz-Latn-UZ"/>
        </w:rPr>
        <w:t xml:space="preserve">"TASDIQLAYMAN"</w:t>
      </w:r>
    </w:p>
    <w:p>
      <w:pPr>
        <w:spacing w:after="30" w:before="30" w:line="276" w:lineRule="auto"/>
        <w:jc w:val="right"/>
      </w:pPr>
      <w:r>
        <w:rPr>
          <w:rFonts w:ascii="Times New Roman" w:cs="Times New Roman" w:eastAsia="Times New Roman" w:hAnsi="Times New Roman"/>
          <w:b w:val="false"/>
          <w:bCs w:val="false"/>
          <w:sz w:val="28"/>
          <w:szCs w:val="28"/>
          <w:lang w:val="uz-Latn-UZ"/>
        </w:rPr>
        <w:t xml:space="preserve">Toshkent davlat iqtisodiyot universiteti</w:t>
      </w:r>
      <w:r>
        <w:rPr>
          <w:rFonts w:ascii="Times New Roman" w:cs="Times New Roman" w:eastAsia="Times New Roman" w:hAnsi="Times New Roman"/>
          <w:b w:val="false"/>
          <w:bCs w:val="false"/>
          <w:sz w:val="28"/>
          <w:szCs w:val="28"/>
          <w:lang w:val="uz-Latn-UZ"/>
        </w:rPr>
        <w:t xml:space="preserve"> rektori</w:t>
      </w:r>
    </w:p>
    <w:p>
      <w:pPr>
        <w:spacing w:after="30" w:before="30" w:line="276" w:lineRule="auto"/>
        <w:jc w:val="right"/>
      </w:pPr>
      <w:r>
        <w:rPr>
          <w:rFonts w:ascii="Times New Roman" w:cs="Times New Roman" w:eastAsia="Times New Roman" w:hAnsi="Times New Roman"/>
          <w:b w:val="false"/>
          <w:bCs w:val="false"/>
          <w:sz w:val="28"/>
          <w:szCs w:val="28"/>
          <w:lang w:val="uz-Latn-UZ"/>
        </w:rPr>
        <w:t xml:space="preserve">Yoʻldoshev Bekzod Anvarovich</w:t>
      </w:r>
    </w:p>
    <w:p>
      <w:pPr>
        <w:spacing w:after="30" w:before="30" w:line="276" w:lineRule="auto"/>
        <w:jc w:val="right"/>
      </w:pPr>
      <w:r>
        <w:rPr>
          <w:rFonts w:ascii="Times New Roman" w:cs="Times New Roman" w:eastAsia="Times New Roman" w:hAnsi="Times New Roman"/>
          <w:b w:val="false"/>
          <w:bCs w:val="false"/>
          <w:sz w:val="28"/>
          <w:szCs w:val="28"/>
          <w:lang w:val="uz-Latn-UZ"/>
        </w:rPr>
        <w:t xml:space="preserve">_______________________</w:t>
      </w:r>
    </w:p>
    <w:p>
      <w:pPr>
        <w:spacing w:after="30" w:before="30" w:line="276" w:lineRule="auto"/>
        <w:jc w:val="right"/>
      </w:pPr>
      <w:r>
        <w:rPr>
          <w:rFonts w:ascii="Times New Roman" w:cs="Times New Roman" w:eastAsia="Times New Roman" w:hAnsi="Times New Roman"/>
          <w:b w:val="false"/>
          <w:bCs w:val="false"/>
          <w:sz w:val="28"/>
          <w:szCs w:val="28"/>
          <w:lang w:val="uz-Latn-UZ"/>
        </w:rPr>
        <w:t xml:space="preserve">20__ -yil «___» ____________</w:t>
      </w:r>
    </w:p>
    <w:p>
      <w:r>
        <w:t xml:space="preserve"/>
      </w:r>
    </w:p>
    <w:p>
      <w:r>
        <w:t xml:space="preserve"/>
      </w:r>
    </w:p>
    <w:p>
      <w:pPr>
        <w:spacing w:after="40" w:before="40" w:line="276" w:lineRule="auto"/>
        <w:jc w:val="center"/>
      </w:pPr>
      <w:r>
        <w:rPr>
          <w:rFonts w:ascii="Times New Roman" w:cs="Times New Roman" w:eastAsia="Times New Roman" w:hAnsi="Times New Roman"/>
          <w:b/>
          <w:bCs/>
          <w:sz w:val="30"/>
          <w:szCs w:val="30"/>
          <w:lang w:val="uz-Latn-UZ"/>
        </w:rPr>
        <w:t xml:space="preserve">MAKROIQTISODIYOT</w:t>
      </w:r>
    </w:p>
    <w:p>
      <w:pPr>
        <w:spacing w:after="40" w:before="40" w:line="276" w:lineRule="auto"/>
        <w:jc w:val="center"/>
      </w:pPr>
      <w:r>
        <w:rPr>
          <w:rFonts w:ascii="Times New Roman" w:cs="Times New Roman" w:eastAsia="Times New Roman" w:hAnsi="Times New Roman"/>
          <w:b/>
          <w:bCs/>
          <w:sz w:val="30"/>
          <w:szCs w:val="30"/>
          <w:lang w:val="uz-Latn-UZ"/>
        </w:rPr>
        <w:t xml:space="preserve">FAN DASTURI</w:t>
      </w:r>
    </w:p>
    <w:p>
      <w:r>
        <w:t xml:space="preserve"/>
      </w:r>
    </w:p>
    <w:p>
      <w:r>
        <w:t xml:space="preserve"/>
      </w:r>
    </w:p>
    <w:tbl>
      <w:tblPr>
        <w:tblW w:type="dxa" w:w="9638"/>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3084"/>
        <w:gridCol w:w="6554"/>
      </w:tblGrid>
      <w:tr>
        <w:trPr>
          <w:cantSplit/>
          <w:tblHeader w:val="false"/>
        </w:trPr>
        <w:tc>
          <w:tcPr>
            <w:tcW w:type="dxa" w:w="308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Bilim sohasi:</w:t>
            </w:r>
          </w:p>
        </w:tc>
        <w:tc>
          <w:tcPr>
            <w:tcW w:type="dxa" w:w="655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400 000 - Biznes, boshqaruv va huquq</w:t>
            </w:r>
          </w:p>
        </w:tc>
      </w:tr>
      <w:tr>
        <w:trPr>
          <w:cantSplit/>
          <w:tblHeader w:val="false"/>
        </w:trPr>
        <w:tc>
          <w:tcPr>
            <w:tcW w:type="dxa" w:w="308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Taʼlim sohasi:</w:t>
            </w:r>
          </w:p>
        </w:tc>
        <w:tc>
          <w:tcPr>
            <w:tcW w:type="dxa" w:w="655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410 000 - Biznes va boshqaruv</w:t>
            </w:r>
          </w:p>
        </w:tc>
      </w:tr>
      <w:tr>
        <w:trPr>
          <w:cantSplit/>
          <w:tblHeader w:val="false"/>
        </w:trPr>
        <w:tc>
          <w:tcPr>
            <w:tcW w:type="dxa" w:w="308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Taʼlim yoʻnalishi:</w:t>
            </w:r>
          </w:p>
        </w:tc>
        <w:tc>
          <w:tcPr>
            <w:tcW w:type="dxa" w:w="655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60410100 - Iqtisodiyot</w:t>
            </w:r>
          </w:p>
        </w:tc>
      </w:tr>
    </w:tbl>
    <w:p>
      <w:r>
        <w:t xml:space="preserve"/>
      </w:r>
    </w:p>
    <w:p>
      <w:r>
        <w:t xml:space="preserve"/>
      </w:r>
    </w:p>
    <w:p>
      <w:pPr>
        <w:spacing w:after="40" w:before="40" w:line="276" w:lineRule="auto"/>
        <w:jc w:val="center"/>
      </w:pPr>
      <w:r>
        <w:rPr>
          <w:rFonts w:ascii="Times New Roman" w:cs="Times New Roman" w:eastAsia="Times New Roman" w:hAnsi="Times New Roman"/>
          <w:b w:val="false"/>
          <w:bCs w:val="false"/>
          <w:sz w:val="28"/>
          <w:szCs w:val="28"/>
          <w:lang w:val="uz-Latn-UZ"/>
        </w:rPr>
        <w:t xml:space="preserve">Toshkent - 2025-yil</w:t>
      </w:r>
    </w:p>
    <w:p>
      <w:r>
        <w:br w:type="page"/>
      </w:r>
    </w:p>
    <w:tbl>
      <w:tblPr>
        <w:tblW w:type="dxa" w:w="9638"/>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803"/>
        <w:gridCol w:w="803"/>
        <w:gridCol w:w="803"/>
        <w:gridCol w:w="803"/>
        <w:gridCol w:w="803"/>
        <w:gridCol w:w="803"/>
        <w:gridCol w:w="803"/>
        <w:gridCol w:w="803"/>
        <w:gridCol w:w="803"/>
        <w:gridCol w:w="803"/>
        <w:gridCol w:w="803"/>
        <w:gridCol w:w="805"/>
      </w:tblGrid>
      <w:tr>
        <w:trPr>
          <w:cantSplit/>
          <w:tblHeader/>
        </w:trPr>
        <w:tc>
          <w:tcPr>
            <w:tcW w:type="dxa" w:w="2409"/>
            <w:gridSpan w:val="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Fan/modul kodi</w:t>
            </w:r>
          </w:p>
        </w:tc>
        <w:tc>
          <w:tcPr>
            <w:tcW w:type="dxa" w:w="2409"/>
            <w:gridSpan w:val="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Oʻquv yili</w:t>
            </w:r>
          </w:p>
        </w:tc>
        <w:tc>
          <w:tcPr>
            <w:tcW w:type="dxa" w:w="2409"/>
            <w:gridSpan w:val="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Semestr</w:t>
            </w:r>
          </w:p>
        </w:tc>
        <w:tc>
          <w:tcPr>
            <w:tcW w:type="dxa" w:w="2411"/>
            <w:gridSpan w:val="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ECTS-Kreditlar</w:t>
            </w:r>
          </w:p>
        </w:tc>
      </w:tr>
      <w:tr>
        <w:trPr>
          <w:cantSplit/>
          <w:tblHeader w:val="false"/>
        </w:trPr>
        <w:tc>
          <w:tcPr>
            <w:tcW w:type="dxa" w:w="2409"/>
            <w:gridSpan w:val="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IQT-2203</w:t>
            </w:r>
          </w:p>
        </w:tc>
        <w:tc>
          <w:tcPr>
            <w:tcW w:type="dxa" w:w="2409"/>
            <w:gridSpan w:val="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2025-2026</w:t>
            </w:r>
          </w:p>
        </w:tc>
        <w:tc>
          <w:tcPr>
            <w:tcW w:type="dxa" w:w="2409"/>
            <w:gridSpan w:val="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w:t>
            </w:r>
          </w:p>
        </w:tc>
        <w:tc>
          <w:tcPr>
            <w:tcW w:type="dxa" w:w="2411"/>
            <w:gridSpan w:val="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w:t>
            </w:r>
          </w:p>
        </w:tc>
      </w:tr>
      <w:tr>
        <w:trPr>
          <w:cantSplit/>
          <w:tblHeader w:val="false"/>
        </w:trPr>
        <w:tc>
          <w:tcPr>
            <w:tcW w:type="dxa" w:w="3212"/>
            <w:gridSpan w:val="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Fan/modul turi</w:t>
            </w:r>
          </w:p>
        </w:tc>
        <w:tc>
          <w:tcPr>
            <w:tcW w:type="dxa" w:w="3212"/>
            <w:gridSpan w:val="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Taʼlim tili</w:t>
            </w:r>
          </w:p>
        </w:tc>
        <w:tc>
          <w:tcPr>
            <w:tcW w:type="dxa" w:w="3214"/>
            <w:gridSpan w:val="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Haftadagi dars soatlari</w:t>
            </w:r>
          </w:p>
        </w:tc>
      </w:tr>
      <w:tr>
        <w:trPr>
          <w:cantSplit/>
          <w:tblHeader w:val="false"/>
        </w:trPr>
        <w:tc>
          <w:tcPr>
            <w:tcW w:type="dxa" w:w="3212"/>
            <w:gridSpan w:val="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Majburiy</w:t>
            </w:r>
          </w:p>
        </w:tc>
        <w:tc>
          <w:tcPr>
            <w:tcW w:type="dxa" w:w="3212"/>
            <w:gridSpan w:val="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oʻzbek</w:t>
            </w:r>
          </w:p>
        </w:tc>
        <w:tc>
          <w:tcPr>
            <w:tcW w:type="dxa" w:w="3214"/>
            <w:gridSpan w:val="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w:t>
            </w:r>
          </w:p>
        </w:tc>
      </w:tr>
      <w:tr>
        <w:trPr>
          <w:cantSplit/>
          <w:tblHeader w:val="false"/>
        </w:trPr>
        <w:tc>
          <w:tcPr>
            <w:tcW w:type="dxa" w:w="2409"/>
            <w:gridSpan w:val="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Fanning nomi</w:t>
            </w:r>
          </w:p>
        </w:tc>
        <w:tc>
          <w:tcPr>
            <w:tcW w:type="dxa" w:w="2409"/>
            <w:gridSpan w:val="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Auditoriya mashgʻulotlari (soat)</w:t>
            </w:r>
          </w:p>
        </w:tc>
        <w:tc>
          <w:tcPr>
            <w:tcW w:type="dxa" w:w="2409"/>
            <w:gridSpan w:val="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Mustaqil taʼlim (soat)</w:t>
            </w:r>
          </w:p>
        </w:tc>
        <w:tc>
          <w:tcPr>
            <w:tcW w:type="dxa" w:w="2411"/>
            <w:gridSpan w:val="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Jami yuklama (soat)</w:t>
            </w:r>
          </w:p>
        </w:tc>
      </w:tr>
      <w:tr>
        <w:trPr>
          <w:cantSplit/>
          <w:tblHeader w:val="false"/>
        </w:trPr>
        <w:tc>
          <w:tcPr>
            <w:tcW w:type="dxa" w:w="2409"/>
            <w:gridSpan w:val="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Makroiqtisodiyot</w:t>
            </w:r>
          </w:p>
        </w:tc>
        <w:tc>
          <w:tcPr>
            <w:tcW w:type="dxa" w:w="2409"/>
            <w:gridSpan w:val="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45</w:t>
            </w:r>
          </w:p>
        </w:tc>
        <w:tc>
          <w:tcPr>
            <w:tcW w:type="dxa" w:w="2409"/>
            <w:gridSpan w:val="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45</w:t>
            </w:r>
          </w:p>
        </w:tc>
        <w:tc>
          <w:tcPr>
            <w:tcW w:type="dxa" w:w="2411"/>
            <w:gridSpan w:val="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90</w:t>
            </w:r>
          </w:p>
        </w:tc>
      </w:tr>
    </w:tbl>
    <w:p>
      <w:pPr>
        <w:keepNext/>
        <w:spacing w:after="100" w:before="240" w:line="276" w:lineRule="auto"/>
        <w:jc w:val="left"/>
      </w:pPr>
      <w:r>
        <w:rPr>
          <w:rFonts w:ascii="Times New Roman" w:cs="Times New Roman" w:eastAsia="Times New Roman" w:hAnsi="Times New Roman"/>
          <w:b/>
          <w:bCs/>
          <w:sz w:val="28"/>
          <w:szCs w:val="28"/>
          <w:lang w:val="uz-Latn-UZ"/>
        </w:rPr>
        <w:t xml:space="preserve">I. Fanning mazmuni</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Makroiqtisodiyot fani milliy va jahon iqtisodiyotining yalpi koʻrsatkichlari, iqtisodiy oʻsish, inflyatsiya, ishsizlik, pul-kredit va fiskal siyosat, tashqi muvozanat kabi asosiy jarayonlarni oʻrganadi. Fan zamonaviy bozor iqtisodiyotida davlatning iqtisodiy rolini, iqtisodiy tebranishlar sabablari va ularni yumshatish mexanizmlarini tahlil qilishga xizmat qiladi. Ushbu fan talabalarga makroiqtisodiy modellar, koʻrsatkichlar va siyosiy instrumentlarni oʻzaro bogʻliqlikda tushunishni taʼminlaydi. Fanning mazmuni real iqtisodiy maʼlumotlar bilan ishlash, makroiqtisodiy hodisalarni sharhlash va prognozlash koʻnikmalarini shakllantiradi. Makroiqtisodiyot mutaxassislik tayyorgarligida keyingi ixtisoslashgan fanlarni oʻzlashtirish uchun nazariy va amaliy poydevor vazifasini bajaradi.</w:t>
      </w:r>
    </w:p>
    <w:p>
      <w:pPr>
        <w:spacing w:after="20" w:before="80" w:line="276" w:lineRule="auto"/>
        <w:jc w:val="left"/>
      </w:pPr>
      <w:r>
        <w:rPr>
          <w:rFonts w:ascii="Times New Roman" w:cs="Times New Roman" w:eastAsia="Times New Roman" w:hAnsi="Times New Roman"/>
          <w:b/>
          <w:bCs/>
          <w:sz w:val="28"/>
          <w:szCs w:val="28"/>
          <w:lang w:val="uz-Latn-UZ"/>
        </w:rPr>
        <w:t xml:space="preserve">Fanning maqsadi:</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Talabalarda makroiqtisodiy nazariya, asosiy koʻrsatkichlar va davlat iqtisodiy siyosati instrumentlarini tahlil qilish hamda baholash boʻyicha tizimli bilim va amaliy koʻnikmalarni shakllantirish. Fanni oʻzlashtirish natijasida talaba makroiqtisodiy jarayonlarni model asosida izohlash va sodir boʻlayotgan oʻzgarishlarga asosli xulosa berishga qodir boʻladi.</w:t>
      </w:r>
    </w:p>
    <w:p>
      <w:pPr>
        <w:spacing w:after="20" w:before="80" w:line="276" w:lineRule="auto"/>
        <w:jc w:val="left"/>
      </w:pPr>
      <w:r>
        <w:rPr>
          <w:rFonts w:ascii="Times New Roman" w:cs="Times New Roman" w:eastAsia="Times New Roman" w:hAnsi="Times New Roman"/>
          <w:b/>
          <w:bCs/>
          <w:sz w:val="28"/>
          <w:szCs w:val="28"/>
          <w:lang w:val="uz-Latn-UZ"/>
        </w:rPr>
        <w:t xml:space="preserve">Fanning vazifalari:</w:t>
      </w:r>
    </w:p>
    <w:p>
      <w:pPr>
        <w:pStyle w:val="ListParagraph"/>
        <w:numPr>
          <w:ilvl w:val="0"/>
          <w:numId w:val="2"/>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Makroiqtisodiyotning predmeti, usullari va tadqiqot obʼektlari bilan tanishtirish</w:t>
      </w:r>
    </w:p>
    <w:p>
      <w:pPr>
        <w:pStyle w:val="ListParagraph"/>
        <w:numPr>
          <w:ilvl w:val="0"/>
          <w:numId w:val="2"/>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Yalpi ichki mahsulot, milliy daromad, inflyatsiya va ishsizlik koʻrsatkichlarini hisoblashni oʻrgatish</w:t>
      </w:r>
    </w:p>
    <w:p>
      <w:pPr>
        <w:pStyle w:val="ListParagraph"/>
        <w:numPr>
          <w:ilvl w:val="0"/>
          <w:numId w:val="2"/>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Yalpi talab va yalpi taklif modelini qoʻllash koʻnikmasini shakllantirish</w:t>
      </w:r>
    </w:p>
    <w:p>
      <w:pPr>
        <w:pStyle w:val="ListParagraph"/>
        <w:numPr>
          <w:ilvl w:val="0"/>
          <w:numId w:val="2"/>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Pul-kredit va fiskal siyosat mexanizmlarini tahlil qilishni rivojlantirish</w:t>
      </w:r>
    </w:p>
    <w:p>
      <w:pPr>
        <w:pStyle w:val="ListParagraph"/>
        <w:numPr>
          <w:ilvl w:val="0"/>
          <w:numId w:val="2"/>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Iqtisodiy oʻsish omillari va siklik tebranishlar sabablarini tushuntirishni oʻrgatish</w:t>
      </w:r>
    </w:p>
    <w:p>
      <w:pPr>
        <w:pStyle w:val="ListParagraph"/>
        <w:numPr>
          <w:ilvl w:val="0"/>
          <w:numId w:val="2"/>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Makroiqtisodiy muvozanatni baholashda grafik va analitik usullardan foydalanishni shakllantirish</w:t>
      </w:r>
    </w:p>
    <w:p>
      <w:pPr>
        <w:pStyle w:val="ListParagraph"/>
        <w:numPr>
          <w:ilvl w:val="0"/>
          <w:numId w:val="2"/>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Milliy va xalqaro makroiqtisodiy maʼlumotlar bilan ishlash koʻnikmasini rivojlantirish</w:t>
      </w:r>
    </w:p>
    <w:p>
      <w:pPr>
        <w:pStyle w:val="ListParagraph"/>
        <w:numPr>
          <w:ilvl w:val="0"/>
          <w:numId w:val="2"/>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Davlat iqtisodiy siyosati boʻyicha asoslangan xulosa va takliflar ishlab chiqishni oʻrgatish</w:t>
      </w:r>
    </w:p>
    <w:p>
      <w:pPr>
        <w:keepNext/>
        <w:spacing w:after="100" w:before="240" w:line="276" w:lineRule="auto"/>
        <w:jc w:val="left"/>
      </w:pPr>
      <w:r>
        <w:rPr>
          <w:rFonts w:ascii="Times New Roman" w:cs="Times New Roman" w:eastAsia="Times New Roman" w:hAnsi="Times New Roman"/>
          <w:b/>
          <w:bCs/>
          <w:sz w:val="28"/>
          <w:szCs w:val="28"/>
          <w:lang w:val="uz-Latn-UZ"/>
        </w:rPr>
        <w:t xml:space="preserve">II. Asosiy nazariy qism (maʼruza mashgʻulotlari)</w:t>
      </w:r>
    </w:p>
    <w:p>
      <w:pPr>
        <w:spacing w:after="20" w:before="80" w:line="276" w:lineRule="auto"/>
        <w:jc w:val="left"/>
      </w:pPr>
      <w:r>
        <w:rPr>
          <w:rFonts w:ascii="Times New Roman" w:cs="Times New Roman" w:eastAsia="Times New Roman" w:hAnsi="Times New Roman"/>
          <w:b/>
          <w:bCs/>
          <w:sz w:val="28"/>
          <w:szCs w:val="28"/>
          <w:lang w:val="uz-Latn-UZ"/>
        </w:rPr>
        <w:t xml:space="preserve">II.I. Fan tarkibiga quyidagi mavzular kiradi:</w:t>
      </w:r>
    </w:p>
    <w:p>
      <w:pPr>
        <w:keepNext/>
        <w:spacing w:after="120" w:before="240" w:line="276" w:lineRule="auto"/>
        <w:jc w:val="center"/>
      </w:pPr>
      <w:r>
        <w:rPr>
          <w:rFonts w:ascii="Times New Roman" w:cs="Times New Roman" w:eastAsia="Times New Roman" w:hAnsi="Times New Roman"/>
          <w:b/>
          <w:bCs/>
          <w:sz w:val="28"/>
          <w:szCs w:val="28"/>
          <w:lang w:val="uz-Latn-UZ"/>
        </w:rPr>
        <w:t xml:space="preserve">1-modul. Makroiqtisodiyot fanining nazariy asoslari</w:t>
      </w:r>
    </w:p>
    <w:p>
      <w:pPr>
        <w:spacing w:after="20" w:before="80" w:line="276" w:lineRule="auto"/>
        <w:jc w:val="left"/>
      </w:pPr>
      <w:r>
        <w:rPr>
          <w:rFonts w:ascii="Times New Roman" w:cs="Times New Roman" w:eastAsia="Times New Roman" w:hAnsi="Times New Roman"/>
          <w:b/>
          <w:bCs/>
          <w:sz w:val="28"/>
          <w:szCs w:val="28"/>
          <w:lang w:val="uz-Latn-UZ"/>
        </w:rPr>
        <w:t xml:space="preserve">1-mavzu. Makroiqtisodiyot fanining predmeti va usullari.</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Makroiqtisodiyot milliy iqtisodiyotning umumiy faoliyati, yalpi koʻrsatkichlar va ular oʻrtasidagi bogʻliqliklarni oʻrganadi. Mazkur mavzuda makroiqtisodiy tahlilning predmeti, maqsadi, asosiy kategoriyalari hamda pozitiv va normativ yondashuvlar yoritiladi.</w:t>
      </w:r>
    </w:p>
    <w:p>
      <w:pPr>
        <w:spacing w:after="20" w:before="80" w:line="276" w:lineRule="auto"/>
        <w:jc w:val="left"/>
      </w:pPr>
      <w:r>
        <w:rPr>
          <w:rFonts w:ascii="Times New Roman" w:cs="Times New Roman" w:eastAsia="Times New Roman" w:hAnsi="Times New Roman"/>
          <w:b/>
          <w:bCs/>
          <w:sz w:val="28"/>
          <w:szCs w:val="28"/>
          <w:lang w:val="uz-Latn-UZ"/>
        </w:rPr>
        <w:t xml:space="preserve">2-mavzu. Milliy hisoblar tizimi va asosiy makroiqtisodiy koʻrsatkichlar.</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Yalpi ichki mahsulot, yalpi milliy daromad, sof ichki mahsulot va shaxsiy daromad kabi koʻrsatkichlar mazmuni hamda ularni hisoblash tamoyillari koʻrib chiqiladi. Nominal va real koʻrsatkichlar, deflyator va iqtisodiy oʻsishni oʻlchash usullari tahlil qilinadi.</w:t>
      </w:r>
    </w:p>
    <w:p>
      <w:pPr>
        <w:keepNext/>
        <w:spacing w:after="120" w:before="240" w:line="276" w:lineRule="auto"/>
        <w:jc w:val="center"/>
      </w:pPr>
      <w:r>
        <w:rPr>
          <w:rFonts w:ascii="Times New Roman" w:cs="Times New Roman" w:eastAsia="Times New Roman" w:hAnsi="Times New Roman"/>
          <w:b/>
          <w:bCs/>
          <w:sz w:val="28"/>
          <w:szCs w:val="28"/>
          <w:lang w:val="uz-Latn-UZ"/>
        </w:rPr>
        <w:t xml:space="preserve">2-modul. Yigʻma bozorlar va makroiqtisodiy muvozanat</w:t>
      </w:r>
    </w:p>
    <w:p>
      <w:pPr>
        <w:spacing w:after="20" w:before="80" w:line="276" w:lineRule="auto"/>
        <w:jc w:val="left"/>
      </w:pPr>
      <w:r>
        <w:rPr>
          <w:rFonts w:ascii="Times New Roman" w:cs="Times New Roman" w:eastAsia="Times New Roman" w:hAnsi="Times New Roman"/>
          <w:b/>
          <w:bCs/>
          <w:sz w:val="28"/>
          <w:szCs w:val="28"/>
          <w:lang w:val="uz-Latn-UZ"/>
        </w:rPr>
        <w:t xml:space="preserve">3-mavzu. Makroiqtisodiy muvozanat va yigʻma talab-yigʻma taklif modeli.</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Yigʻma talab va yigʻma taklifning shakllanishi, narx darajasi va ishlab chiqarish hajmi oʻrtasidagi bogʻliqliklar oʻrganiladi. Qisqa va uzoq muddatli makroiqtisodiy muvozanat, muvozanat buzilishining asosiy sabablari izohlanadi.</w:t>
      </w:r>
    </w:p>
    <w:p>
      <w:pPr>
        <w:spacing w:after="20" w:before="80" w:line="276" w:lineRule="auto"/>
        <w:jc w:val="left"/>
      </w:pPr>
      <w:r>
        <w:rPr>
          <w:rFonts w:ascii="Times New Roman" w:cs="Times New Roman" w:eastAsia="Times New Roman" w:hAnsi="Times New Roman"/>
          <w:b/>
          <w:bCs/>
          <w:sz w:val="28"/>
          <w:szCs w:val="28"/>
          <w:lang w:val="uz-Latn-UZ"/>
        </w:rPr>
        <w:t xml:space="preserve">4-mavzu. Isteʼmol, jamgʻarma va investitsiya funksiyalari.</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Uy xoʻjaliklari isteʼmoli, jamgʻarmasi va firmalar investitsiya qarorlarining makroiqtisodiy ahamiyati yoritiladi. Avtonom va induksiyalangan isteʼmol, multiplikator mexanizmi hamda foiz stavkasining investitsiyalarga taʼsiri tahlil qilinadi.</w:t>
      </w:r>
    </w:p>
    <w:p>
      <w:pPr>
        <w:spacing w:after="20" w:before="80" w:line="276" w:lineRule="auto"/>
        <w:jc w:val="left"/>
      </w:pPr>
      <w:r>
        <w:rPr>
          <w:rFonts w:ascii="Times New Roman" w:cs="Times New Roman" w:eastAsia="Times New Roman" w:hAnsi="Times New Roman"/>
          <w:b/>
          <w:bCs/>
          <w:sz w:val="28"/>
          <w:szCs w:val="28"/>
          <w:lang w:val="uz-Latn-UZ"/>
        </w:rPr>
        <w:t xml:space="preserve">5-mavzu. Pul bozori va monetar muvozanat.</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Pulning funksiyalari, pul taklifi va pulga talabning omillari, shuningdek, markaziy bankning monetar siyosatdagi oʻrni koʻrib chiqiladi. Pul bozori muvozanati va foiz stavkasining shakllanish mexanizmi tushuntiriladi.</w:t>
      </w:r>
    </w:p>
    <w:p>
      <w:pPr>
        <w:keepNext/>
        <w:spacing w:after="120" w:before="240" w:line="276" w:lineRule="auto"/>
        <w:jc w:val="center"/>
      </w:pPr>
      <w:r>
        <w:rPr>
          <w:rFonts w:ascii="Times New Roman" w:cs="Times New Roman" w:eastAsia="Times New Roman" w:hAnsi="Times New Roman"/>
          <w:b/>
          <w:bCs/>
          <w:sz w:val="28"/>
          <w:szCs w:val="28"/>
          <w:lang w:val="uz-Latn-UZ"/>
        </w:rPr>
        <w:t xml:space="preserve">3-modul. Makroiqtisodiy barqarorlik va davlat siyosati</w:t>
      </w:r>
    </w:p>
    <w:p>
      <w:pPr>
        <w:spacing w:after="20" w:before="80" w:line="276" w:lineRule="auto"/>
        <w:jc w:val="left"/>
      </w:pPr>
      <w:r>
        <w:rPr>
          <w:rFonts w:ascii="Times New Roman" w:cs="Times New Roman" w:eastAsia="Times New Roman" w:hAnsi="Times New Roman"/>
          <w:b/>
          <w:bCs/>
          <w:sz w:val="28"/>
          <w:szCs w:val="28"/>
          <w:lang w:val="uz-Latn-UZ"/>
        </w:rPr>
        <w:t xml:space="preserve">6-mavzu. Ishsizlik, inflyatsiya va ularning oʻzaro bogʻliqligi.</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Ishsizlikning tabiiy darajasi, friksion, tarkibiy va siklik ishsizlik turlari farqlanadi. Inflyatsiya sabablari, uning ijtimoiy-iqtisodiy oqibatlari hamda Filips egri chizigʻi orqali narxlar va bandlik munosabati tahlil qilinadi.</w:t>
      </w:r>
    </w:p>
    <w:p>
      <w:pPr>
        <w:spacing w:after="20" w:before="80" w:line="276" w:lineRule="auto"/>
        <w:jc w:val="left"/>
      </w:pPr>
      <w:r>
        <w:rPr>
          <w:rFonts w:ascii="Times New Roman" w:cs="Times New Roman" w:eastAsia="Times New Roman" w:hAnsi="Times New Roman"/>
          <w:b/>
          <w:bCs/>
          <w:sz w:val="28"/>
          <w:szCs w:val="28"/>
          <w:lang w:val="uz-Latn-UZ"/>
        </w:rPr>
        <w:t xml:space="preserve">7-mavzu. Fiskal siyosat va davlat byudjeti.</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Davlat byudjetining daromad va xarajatlari, soliq siyosati hamda byudjet taqchilligi va davlat qarzining makroiqtisodiy roli yoritiladi. Fiskal siyosatning yalpi talab, ishlab chiqarish va bandlikka taʼsiri baholanadi.</w:t>
      </w:r>
    </w:p>
    <w:p>
      <w:pPr>
        <w:spacing w:after="20" w:before="80" w:line="276" w:lineRule="auto"/>
        <w:jc w:val="left"/>
      </w:pPr>
      <w:r>
        <w:rPr>
          <w:rFonts w:ascii="Times New Roman" w:cs="Times New Roman" w:eastAsia="Times New Roman" w:hAnsi="Times New Roman"/>
          <w:b/>
          <w:bCs/>
          <w:sz w:val="28"/>
          <w:szCs w:val="28"/>
          <w:lang w:val="uz-Latn-UZ"/>
        </w:rPr>
        <w:t xml:space="preserve">8-mavzu. Monetar siyosat va markaziy bank instrumentlari.</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Qayta moliyalash stavkasi, majburiy zaxiralar meʼyori, ochiq bozor operatsiyalari kabi monetar vositalar mazmuni oʻrganiladi. Monetar siyosatning inflyatsiya, kredit hajmi va iqtisodiy faollikka taʼsir kanallari izohlanadi.</w:t>
      </w:r>
    </w:p>
    <w:p>
      <w:pPr>
        <w:spacing w:after="20" w:before="80" w:line="276" w:lineRule="auto"/>
        <w:jc w:val="left"/>
      </w:pPr>
      <w:r>
        <w:rPr>
          <w:rFonts w:ascii="Times New Roman" w:cs="Times New Roman" w:eastAsia="Times New Roman" w:hAnsi="Times New Roman"/>
          <w:b/>
          <w:bCs/>
          <w:sz w:val="28"/>
          <w:szCs w:val="28"/>
          <w:lang w:val="uz-Latn-UZ"/>
        </w:rPr>
        <w:t xml:space="preserve">9-mavzu. Iqtisodiy oʻsishning nazariy modellari.</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Iqtisodiy oʻsishning ekstensiv va intensiv omillari, ishlab chiqarish omillarining samaradorligi va texnologik taraqqiyotning roli tahlil qilinadi. Solou modeli, kapital jamgʻarilishi va uzoq muddatli oʻsish omillari koʻrib chiqiladi.</w:t>
      </w:r>
    </w:p>
    <w:p>
      <w:pPr>
        <w:keepNext/>
        <w:spacing w:after="120" w:before="240" w:line="276" w:lineRule="auto"/>
        <w:jc w:val="center"/>
      </w:pPr>
      <w:r>
        <w:rPr>
          <w:rFonts w:ascii="Times New Roman" w:cs="Times New Roman" w:eastAsia="Times New Roman" w:hAnsi="Times New Roman"/>
          <w:b/>
          <w:bCs/>
          <w:sz w:val="28"/>
          <w:szCs w:val="28"/>
          <w:lang w:val="uz-Latn-UZ"/>
        </w:rPr>
        <w:t xml:space="preserve">4-modul. Ochiq iqtisodiyot va zamonaviy makroiqtisodiy muammolar</w:t>
      </w:r>
    </w:p>
    <w:p>
      <w:pPr>
        <w:spacing w:after="20" w:before="80" w:line="276" w:lineRule="auto"/>
        <w:jc w:val="left"/>
      </w:pPr>
      <w:r>
        <w:rPr>
          <w:rFonts w:ascii="Times New Roman" w:cs="Times New Roman" w:eastAsia="Times New Roman" w:hAnsi="Times New Roman"/>
          <w:b/>
          <w:bCs/>
          <w:sz w:val="28"/>
          <w:szCs w:val="28"/>
          <w:lang w:val="uz-Latn-UZ"/>
        </w:rPr>
        <w:t xml:space="preserve">10-mavzu. Tashqi iqtisodiy faoliyat va ochiq iqtisodiyot modeli.</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Eksport-import oqimlari, toʻlov balansi va valyuta kursining shakllanishi oʻrganiladi. Ochiq iqtisodiyot sharoitida ichki va tashqi muvozanat, kapital harakati hamda sof eksportning yalpi talabga taʼsiri tahlil qilinadi.</w:t>
      </w:r>
    </w:p>
    <w:p>
      <w:pPr>
        <w:spacing w:after="20" w:before="80" w:line="276" w:lineRule="auto"/>
        <w:jc w:val="left"/>
      </w:pPr>
      <w:r>
        <w:rPr>
          <w:rFonts w:ascii="Times New Roman" w:cs="Times New Roman" w:eastAsia="Times New Roman" w:hAnsi="Times New Roman"/>
          <w:b/>
          <w:bCs/>
          <w:sz w:val="28"/>
          <w:szCs w:val="28"/>
          <w:lang w:val="uz-Latn-UZ"/>
        </w:rPr>
        <w:t xml:space="preserve">11-mavzu. Xalqaro savdo va savdo siyosati.</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Nisbiy ustunlik, proteksionizm, bojxona tariflari va kvotalarning iqtisodiy oqibatlari koʻrib chiqiladi. Xalqaro savdoning milliy daromad, narxlar va raqobatbardoshlikka taʼsiri baholanadi.</w:t>
      </w:r>
    </w:p>
    <w:p>
      <w:pPr>
        <w:spacing w:after="20" w:before="80" w:line="276" w:lineRule="auto"/>
        <w:jc w:val="left"/>
      </w:pPr>
      <w:r>
        <w:rPr>
          <w:rFonts w:ascii="Times New Roman" w:cs="Times New Roman" w:eastAsia="Times New Roman" w:hAnsi="Times New Roman"/>
          <w:b/>
          <w:bCs/>
          <w:sz w:val="28"/>
          <w:szCs w:val="28"/>
          <w:lang w:val="uz-Latn-UZ"/>
        </w:rPr>
        <w:t xml:space="preserve">12-mavzu. Valyuta kursi va almashuv rejimlari.</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Nominal va real valyuta kursi, uning talab va taklif omillari hamda qadrsizlanish va mustahkamlanish jarayonlari yoritiladi. Qattiq, suzuvchi va boshqariladigan almashuv rejimlarining afzallik va cheklovlari tahlil qilinadi.</w:t>
      </w:r>
    </w:p>
    <w:p>
      <w:pPr>
        <w:spacing w:after="20" w:before="80" w:line="276" w:lineRule="auto"/>
        <w:jc w:val="left"/>
      </w:pPr>
      <w:r>
        <w:rPr>
          <w:rFonts w:ascii="Times New Roman" w:cs="Times New Roman" w:eastAsia="Times New Roman" w:hAnsi="Times New Roman"/>
          <w:b/>
          <w:bCs/>
          <w:sz w:val="28"/>
          <w:szCs w:val="28"/>
          <w:lang w:val="uz-Latn-UZ"/>
        </w:rPr>
        <w:t xml:space="preserve">13-mavzu. Makroiqtisodiy siyosatning muvofiqlashtirilishi.</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Fiskal va monetar siyosatning oʻzaro uygʻunligi, iqtisodiy tsiklga javob choralarini ishlab chiqish masalalari oʻrganiladi. Siyosatlarning samaradorligi, vaqt laglari va institutsional cheklovlar tahlil qilinadi.</w:t>
      </w:r>
    </w:p>
    <w:p>
      <w:pPr>
        <w:spacing w:after="20" w:before="80" w:line="276" w:lineRule="auto"/>
        <w:jc w:val="left"/>
      </w:pPr>
      <w:r>
        <w:rPr>
          <w:rFonts w:ascii="Times New Roman" w:cs="Times New Roman" w:eastAsia="Times New Roman" w:hAnsi="Times New Roman"/>
          <w:b/>
          <w:bCs/>
          <w:sz w:val="28"/>
          <w:szCs w:val="28"/>
          <w:lang w:val="uz-Latn-UZ"/>
        </w:rPr>
        <w:t xml:space="preserve">14-mavzu. Iqtisodiy tsikllar va inqirozlar nazariyasi.</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Iqtisodiy tsiklning bosqichlari, ishlab chiqarish pasayishi va tiklanish jarayonlari, shuningdek, inqirozlarning ichki va tashqi sabablari koʻrib chiqiladi. Tsiklni yumshatish boʻyicha makroiqtisodiy choralar baholanadi.</w:t>
      </w:r>
    </w:p>
    <w:p>
      <w:pPr>
        <w:spacing w:after="20" w:before="80" w:line="276" w:lineRule="auto"/>
        <w:jc w:val="left"/>
      </w:pPr>
      <w:r>
        <w:rPr>
          <w:rFonts w:ascii="Times New Roman" w:cs="Times New Roman" w:eastAsia="Times New Roman" w:hAnsi="Times New Roman"/>
          <w:b/>
          <w:bCs/>
          <w:sz w:val="28"/>
          <w:szCs w:val="28"/>
          <w:lang w:val="uz-Latn-UZ"/>
        </w:rPr>
        <w:t xml:space="preserve">15-mavzu. Makroiqtisodiy barqarorlik va rivojlanish strategiyalari.</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Barqaror oʻsish, raqobatbardoshlik, tarkibiy islohotlar va institutsional muhitning makroiqtisodiy ahamiyati yoritiladi. Uzoq muddatli rivojlanish strategiyalarini ishlab chiqishda samaradorlik, adolat va barqarorlik mezonlari tahlil qilinadi.</w:t>
      </w:r>
    </w:p>
    <w:p>
      <w:pPr>
        <w:keepNext/>
        <w:spacing w:after="100" w:before="240" w:line="276" w:lineRule="auto"/>
        <w:jc w:val="left"/>
      </w:pPr>
      <w:r>
        <w:rPr>
          <w:rFonts w:ascii="Times New Roman" w:cs="Times New Roman" w:eastAsia="Times New Roman" w:hAnsi="Times New Roman"/>
          <w:b/>
          <w:bCs/>
          <w:sz w:val="28"/>
          <w:szCs w:val="28"/>
          <w:lang w:val="uz-Latn-UZ"/>
        </w:rPr>
        <w:t xml:space="preserve">III. Amaliy mashgʻulotlar boʻyicha koʻrsatma va tavsiyalar</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Amaliy mashgʻulotlarda talabalar nazariy materialni iqtisodiy koʻrsatkichlarni hisoblash, jadval va grafiklar tuzish, holat tahlili hamda muammoli vaziyatlarni yechish orqali mustahkamlaydi. Har bir mashgʻulotda topshiriqlar individual va kichik guruh shaklida bajarilib, natijalar asosli xulosa bilan himoya qilinadi. Talabadan formulalar, hisob-kitoblar va iqtisodiy talqinlarni aniq bayon etish, manbalardan toʻgʻri foydalanish hamda xatolarni mustaqil tahlil qilish talab etiladi. Baholashda bajarilgan ishning toʻgʻriligi, mantiqiy izchilligi, tahlil chuqurligi va taqdim etish madaniyati inobatga olinadi.</w:t>
      </w:r>
    </w:p>
    <w:p>
      <w:pPr>
        <w:spacing w:after="20" w:before="80" w:line="276" w:lineRule="auto"/>
        <w:jc w:val="left"/>
      </w:pPr>
      <w:r>
        <w:rPr>
          <w:rFonts w:ascii="Times New Roman" w:cs="Times New Roman" w:eastAsia="Times New Roman" w:hAnsi="Times New Roman"/>
          <w:b/>
          <w:bCs/>
          <w:sz w:val="28"/>
          <w:szCs w:val="28"/>
          <w:lang w:val="uz-Latn-UZ"/>
        </w:rPr>
        <w:t xml:space="preserve">Amaliy mashgʻulotlar mavzulari:</w:t>
      </w:r>
    </w:p>
    <w:p>
      <w:pPr>
        <w:pStyle w:val="ListParagraph"/>
        <w:numPr>
          <w:ilvl w:val="0"/>
          <w:numId w:val="3"/>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Yalpi ichki mahsulotni hisoblash. Nominal va real YIMni hisoblash, xarajatlar va daromadlar usuli boʻyicha natijalarni taqqoslash.</w:t>
      </w:r>
    </w:p>
    <w:p>
      <w:pPr>
        <w:pStyle w:val="ListParagraph"/>
        <w:numPr>
          <w:ilvl w:val="0"/>
          <w:numId w:val="3"/>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Milliy hisoblar koʻrsatkichlarini tahlil qilish. Yalpi milliy daromad, sof ichki mahsulot va shaxsiy daromad oʻrtasidagi bogʻliqlikni aniqlash.</w:t>
      </w:r>
    </w:p>
    <w:p>
      <w:pPr>
        <w:pStyle w:val="ListParagraph"/>
        <w:numPr>
          <w:ilvl w:val="0"/>
          <w:numId w:val="3"/>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Yigʻma talab va yigʻma taklif grafigini tuzish. Makroiqtisodiy muvozanat nuqtasini aniqlash va siljish omillarini grafikda koʻrsatish.</w:t>
      </w:r>
    </w:p>
    <w:p>
      <w:pPr>
        <w:pStyle w:val="ListParagraph"/>
        <w:numPr>
          <w:ilvl w:val="0"/>
          <w:numId w:val="3"/>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Multiplikator taʼsirini hisoblash. Isteʼmol moyilligi asosida xarajatlar multiplikatorini aniqlash va natijalarni sharhlash.</w:t>
      </w:r>
    </w:p>
    <w:p>
      <w:pPr>
        <w:pStyle w:val="ListParagraph"/>
        <w:numPr>
          <w:ilvl w:val="0"/>
          <w:numId w:val="3"/>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Pul bozori muvozanatini modellashtirish. Pulga talab va pul taklifi asosida foiz stavkasi muvozanatini topish.</w:t>
      </w:r>
    </w:p>
    <w:p>
      <w:pPr>
        <w:pStyle w:val="ListParagraph"/>
        <w:numPr>
          <w:ilvl w:val="0"/>
          <w:numId w:val="3"/>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Inflyatsiya va ishsizlik koʻrsatkichlarini tahlil qilish. Berilgan maʼlumotlar asosida inflyatsiya darajasi, ishsizlik darajasi va ularning oʻzaro aloqasini baholash.</w:t>
      </w:r>
    </w:p>
    <w:p>
      <w:pPr>
        <w:pStyle w:val="ListParagraph"/>
        <w:numPr>
          <w:ilvl w:val="0"/>
          <w:numId w:val="3"/>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Davlat byudjeti va fiskal siyosat boʻyicha hisob-kitoblar. Byudjet daromadlari, xarajatlari, taqchilligi va fiskal choralar samaradorligini aniqlash.</w:t>
      </w:r>
    </w:p>
    <w:p>
      <w:pPr>
        <w:pStyle w:val="ListParagraph"/>
        <w:numPr>
          <w:ilvl w:val="0"/>
          <w:numId w:val="3"/>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Ochiq iqtisodiyotda valyuta kursi va toʻlov balansi tahlili. Valyuta kursi oʻzgarishi va toʻlov balansi tarkibiy qismlarining makroiqtisodiy oqibatlarini baholash.</w:t>
      </w:r>
    </w:p>
    <w:p>
      <w:pPr>
        <w:keepNext/>
        <w:spacing w:after="100" w:before="240" w:line="276" w:lineRule="auto"/>
        <w:jc w:val="left"/>
      </w:pPr>
      <w:r>
        <w:rPr>
          <w:rFonts w:ascii="Times New Roman" w:cs="Times New Roman" w:eastAsia="Times New Roman" w:hAnsi="Times New Roman"/>
          <w:b/>
          <w:bCs/>
          <w:sz w:val="28"/>
          <w:szCs w:val="28"/>
          <w:lang w:val="uz-Latn-UZ"/>
        </w:rPr>
        <w:t xml:space="preserve">IV. Mustaqil taʼlim va mustaqil ishlar</w:t>
      </w:r>
    </w:p>
    <w:p>
      <w:pPr>
        <w:spacing w:after="120" w:before="0" w:line="276"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Mustaqil taʼlim mavzulari boʻyicha talabalar referat, taqdimot, konspekt, analitik sharh va amaliy topshiriqlar shaklida ishlaydi. Har bir topshiriq uchun ilmiy adabiyotlar, statistik maʼlumotlar va rasmiy hisobotlardan foydalanish, manbalarni toʻgʻri rasmiylashtirish talab etiladi. Mustaqil ishlar oraliq nazorat, ogʻzaki soʻrov, yozma ish va taqdimot himoyasi orqali tekshiriladi. Baholashda mavzuni chuqur oʻzlashtirish, mustaqil xulosa chiqarish, dalillar bilan asoslash va amaliy ahamiyatni koʻrsata olish mezonlari qoʻllanadi.</w:t>
      </w:r>
    </w:p>
    <w:p>
      <w:pPr>
        <w:spacing w:after="20" w:before="80" w:line="276" w:lineRule="auto"/>
        <w:jc w:val="left"/>
      </w:pPr>
      <w:r>
        <w:rPr>
          <w:rFonts w:ascii="Times New Roman" w:cs="Times New Roman" w:eastAsia="Times New Roman" w:hAnsi="Times New Roman"/>
          <w:b/>
          <w:bCs/>
          <w:sz w:val="28"/>
          <w:szCs w:val="28"/>
          <w:lang w:val="uz-Latn-UZ"/>
        </w:rPr>
        <w:t xml:space="preserve">Mustaqil taʼlim uchun tavsiya etiladigan mavzular:</w:t>
      </w:r>
    </w:p>
    <w:p>
      <w:pPr>
        <w:pStyle w:val="ListParagraph"/>
        <w:numPr>
          <w:ilvl w:val="0"/>
          <w:numId w:val="4"/>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Oʻzbekiston iqtisodiyotida yalpi ichki mahsulot dinamikasi. Soʻnggi yillardagi YIM oʻzgarishlarini tahlil qilib, oʻsish omillari va tarkibiy siljishlarni aniqlang.</w:t>
      </w:r>
    </w:p>
    <w:p>
      <w:pPr>
        <w:pStyle w:val="ListParagraph"/>
        <w:numPr>
          <w:ilvl w:val="0"/>
          <w:numId w:val="4"/>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Inflyatsiyani jilovlash boʻyicha xalqaro tajriba. Turli mamlakatlar monetar va fiskal choralarini solishtirib, samarali yondashuvlar boʻyicha xulosa tayyorlang.</w:t>
      </w:r>
    </w:p>
    <w:p>
      <w:pPr>
        <w:pStyle w:val="ListParagraph"/>
        <w:numPr>
          <w:ilvl w:val="0"/>
          <w:numId w:val="4"/>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Bandlik siyosati va mehnat bozori islohotlari. Mehnat bozoridagi institutsional muammolar va ularni bartaraf etish mexanizmlarini tahlil qiling.</w:t>
      </w:r>
    </w:p>
    <w:p>
      <w:pPr>
        <w:pStyle w:val="ListParagraph"/>
        <w:numPr>
          <w:ilvl w:val="0"/>
          <w:numId w:val="4"/>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Davlat qarzi va uning makroiqtisodiy xavflari. Davlat qarzi barqarorligi koʻrsatkichlarini oʻrganib, qarz yukining iqtisodiyotga taʼsirini baholang.</w:t>
      </w:r>
    </w:p>
    <w:p>
      <w:pPr>
        <w:pStyle w:val="ListParagraph"/>
        <w:numPr>
          <w:ilvl w:val="0"/>
          <w:numId w:val="4"/>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Markaziy bankning inflyatsion targetlash amaliyoti. Inflyatsion targetlash rejimining afzalliklari, cheklovlari va natijadorligini oʻrganing.</w:t>
      </w:r>
    </w:p>
    <w:p>
      <w:pPr>
        <w:pStyle w:val="ListParagraph"/>
        <w:numPr>
          <w:ilvl w:val="0"/>
          <w:numId w:val="4"/>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Raqamli iqtisodiyot va makroiqtisodiy oʻlchovlar. Elektron savdo, raqamli xizmatlar va platforma iqtisodiyotining milliy hisoblar tizimiga taʼsirini tahlil qiling.</w:t>
      </w:r>
    </w:p>
    <w:p>
      <w:pPr>
        <w:pStyle w:val="ListParagraph"/>
        <w:numPr>
          <w:ilvl w:val="0"/>
          <w:numId w:val="4"/>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Hududiy nomutanosibliklar va iqtisodiy rivojlanish. Hududlar kesimidagi ishlab chiqarish, bandlik va daromadlar tafovutini aniqlab, sabablarini izohlang.</w:t>
      </w:r>
    </w:p>
    <w:p>
      <w:pPr>
        <w:pStyle w:val="ListParagraph"/>
        <w:numPr>
          <w:ilvl w:val="0"/>
          <w:numId w:val="4"/>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Barqaror rivojlanish maqsadlari va makroiqtisodiy siyosat. Barqaror rivojlanish maqsadlarini makroiqtisodiy strategiyalar bilan uygʻunlashtirish boʻyicha takliflar ishlab chiqing.</w:t>
      </w:r>
    </w:p>
    <w:p>
      <w:pPr>
        <w:keepNext/>
        <w:spacing w:after="100" w:before="240" w:line="276" w:lineRule="auto"/>
        <w:jc w:val="left"/>
      </w:pPr>
      <w:r>
        <w:rPr>
          <w:rFonts w:ascii="Times New Roman" w:cs="Times New Roman" w:eastAsia="Times New Roman" w:hAnsi="Times New Roman"/>
          <w:b/>
          <w:bCs/>
          <w:sz w:val="28"/>
          <w:szCs w:val="28"/>
          <w:lang w:val="uz-Latn-UZ"/>
        </w:rPr>
        <w:t xml:space="preserve">V. Fan oʻqitilishining natijalari (shakllanadigan kompetensiyalar)</w:t>
      </w:r>
    </w:p>
    <w:p>
      <w:pPr>
        <w:spacing w:after="20" w:before="20" w:line="276" w:lineRule="auto"/>
        <w:jc w:val="both"/>
      </w:pPr>
      <w:r>
        <w:rPr>
          <w:rFonts w:ascii="Times New Roman" w:cs="Times New Roman" w:eastAsia="Times New Roman" w:hAnsi="Times New Roman"/>
          <w:b w:val="false"/>
          <w:bCs w:val="false"/>
          <w:sz w:val="28"/>
          <w:szCs w:val="28"/>
          <w:lang w:val="uz-Latn-UZ"/>
        </w:rPr>
        <w:t xml:space="preserve">Fanni oʻzlashtirish natijasida talabada quyidagi kompetensiyalar shakllanadi:</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Makroiqtisodiyotning asosiy tushunchalari va kategoriyalarini biladi</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Yalpi ichki mahsulotni hisoblash usullarini tushunadi</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Inflyatsiya va ishsizlik oʻrtasidagi bogʻliqlikni tahlil qiladi</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Yalpi talab va yalpi taklif modelini qoʻllay oladi</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Pul-kredit siyosati instrumentlarini farqlay oladi</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Fiskal siyosatning makroiqtisodiy oqibatlarini baholaydi</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Makroiqtisodiy koʻrsatkichlar dinamikasini sharhlay oladi</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Makroiqtisodiy muammolarga iqtisodiy asoslangan yechimlar taklif qiladi</w:t>
      </w:r>
    </w:p>
    <w:p>
      <w:pPr>
        <w:keepNext/>
        <w:spacing w:after="100" w:before="240" w:line="276" w:lineRule="auto"/>
        <w:jc w:val="left"/>
      </w:pPr>
      <w:r>
        <w:rPr>
          <w:rFonts w:ascii="Times New Roman" w:cs="Times New Roman" w:eastAsia="Times New Roman" w:hAnsi="Times New Roman"/>
          <w:b/>
          <w:bCs/>
          <w:sz w:val="28"/>
          <w:szCs w:val="28"/>
          <w:lang w:val="uz-Latn-UZ"/>
        </w:rPr>
        <w:t xml:space="preserve">VI. Taʼlim texnologiyalari va metodlari</w:t>
      </w:r>
    </w:p>
    <w:p>
      <w:pPr>
        <w:spacing w:after="20" w:before="20" w:line="276" w:lineRule="auto"/>
        <w:jc w:val="both"/>
      </w:pPr>
      <w:r>
        <w:rPr>
          <w:rFonts w:ascii="Times New Roman" w:cs="Times New Roman" w:eastAsia="Times New Roman" w:hAnsi="Times New Roman"/>
          <w:b w:val="false"/>
          <w:bCs w:val="false"/>
          <w:sz w:val="28"/>
          <w:szCs w:val="28"/>
          <w:lang w:val="uz-Latn-UZ"/>
        </w:rPr>
        <w:t xml:space="preserve">Fanni oʻqitishda quyidagi zamonaviy taʼlim texnologiyalari va metodlaridan foydalaniladi:</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muammoli taʼlim</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keys-stadi</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kichik guruhlarda ishlash</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aqliy hujum</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klaster usuli</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loyiha usuli</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multimedia taqdimotlar</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blits-soʻrov</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bahs-munozara</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jadval va grafiklar bilan ishlash</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amaliy mashgʻulotda tahliliy topshiriqlar</w:t>
      </w:r>
    </w:p>
    <w:p>
      <w:pPr>
        <w:pStyle w:val="ListParagraph"/>
        <w:numPr>
          <w:ilvl w:val="0"/>
          <w:numId w:val="5"/>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hamkorlikda oʻqitish</w:t>
      </w:r>
    </w:p>
    <w:p>
      <w:pPr>
        <w:keepNext/>
        <w:spacing w:after="100" w:before="240" w:line="276" w:lineRule="auto"/>
        <w:jc w:val="left"/>
      </w:pPr>
      <w:r>
        <w:rPr>
          <w:rFonts w:ascii="Times New Roman" w:cs="Times New Roman" w:eastAsia="Times New Roman" w:hAnsi="Times New Roman"/>
          <w:b/>
          <w:bCs/>
          <w:sz w:val="28"/>
          <w:szCs w:val="28"/>
          <w:lang w:val="uz-Latn-UZ"/>
        </w:rPr>
        <w:t xml:space="preserve">VII. Kreditlarni olish uchun talablar</w:t>
      </w:r>
    </w:p>
    <w:p>
      <w:pPr>
        <w:spacing w:after="20" w:before="20" w:line="276" w:lineRule="auto"/>
        <w:jc w:val="both"/>
      </w:pPr>
      <w:r>
        <w:rPr>
          <w:rFonts w:ascii="Times New Roman" w:cs="Times New Roman" w:eastAsia="Times New Roman" w:hAnsi="Times New Roman"/>
          <w:b w:val="false"/>
          <w:bCs w:val="false"/>
          <w:sz w:val="28"/>
          <w:szCs w:val="28"/>
          <w:lang w:val="uz-Latn-UZ"/>
        </w:rPr>
        <w:t xml:space="preserve">Fanga oid nazariy va uslubiy tushunchalarni toʻla oʻzlashtirishi, tahlil natijalarini toʻgʻri aks ettira olish, oʻrganilayotgan jarayonlar haqida mustaqil mushohada yuritish va joriy, oraliq nazorat shakllarida berilgan vazifa va topshiriqlarni bajarish, yakuniy nazorat boʻyicha test yoki yozma ishni topshirishi kerak.</w:t>
      </w:r>
    </w:p>
    <w:p>
      <w:pPr>
        <w:keepNext/>
        <w:spacing w:after="100" w:before="240" w:line="276" w:lineRule="auto"/>
        <w:jc w:val="left"/>
      </w:pPr>
      <w:r>
        <w:rPr>
          <w:rFonts w:ascii="Times New Roman" w:cs="Times New Roman" w:eastAsia="Times New Roman" w:hAnsi="Times New Roman"/>
          <w:b/>
          <w:bCs/>
          <w:sz w:val="28"/>
          <w:szCs w:val="28"/>
          <w:lang w:val="uz-Latn-UZ"/>
        </w:rPr>
        <w:t xml:space="preserve">Asosiy adabiyotlar</w:t>
      </w:r>
    </w:p>
    <w:p>
      <w:pPr>
        <w:pStyle w:val="ListParagraph"/>
        <w:numPr>
          <w:ilvl w:val="0"/>
          <w:numId w:val="6"/>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N. Gregory Mankiw. Macroeconomics. – Worth Publishers, New York, 2022.</w:t>
      </w:r>
    </w:p>
    <w:p>
      <w:pPr>
        <w:pStyle w:val="ListParagraph"/>
        <w:numPr>
          <w:ilvl w:val="0"/>
          <w:numId w:val="6"/>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Olivier Blanchard. Macroeconomics. – Pearson, Harlow, 2021.</w:t>
      </w:r>
    </w:p>
    <w:p>
      <w:pPr>
        <w:pStyle w:val="ListParagraph"/>
        <w:numPr>
          <w:ilvl w:val="0"/>
          <w:numId w:val="6"/>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Rudiger Dornbusch, Stanley Fischer, Richard Startz. Macroeconomics. – McGraw-Hill Education, New York, 2014.</w:t>
      </w:r>
    </w:p>
    <w:p>
      <w:pPr>
        <w:pStyle w:val="ListParagraph"/>
        <w:numPr>
          <w:ilvl w:val="0"/>
          <w:numId w:val="6"/>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Charles I. Jones. Macroeconomics. – W. W. Norton &amp; Company, New York, 2020.</w:t>
      </w:r>
    </w:p>
    <w:p>
      <w:pPr>
        <w:keepNext/>
        <w:spacing w:after="100" w:before="240" w:line="276" w:lineRule="auto"/>
        <w:jc w:val="left"/>
      </w:pPr>
      <w:r>
        <w:rPr>
          <w:rFonts w:ascii="Times New Roman" w:cs="Times New Roman" w:eastAsia="Times New Roman" w:hAnsi="Times New Roman"/>
          <w:b/>
          <w:bCs/>
          <w:sz w:val="28"/>
          <w:szCs w:val="28"/>
          <w:lang w:val="uz-Latn-UZ"/>
        </w:rPr>
        <w:t xml:space="preserve">Qoʻshimcha adabiyotlar</w:t>
      </w:r>
    </w:p>
    <w:p>
      <w:pPr>
        <w:pStyle w:val="ListParagraph"/>
        <w:numPr>
          <w:ilvl w:val="0"/>
          <w:numId w:val="7"/>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Frederic S. Mishkin. The Economics of Money, Banking and Financial Markets. – Pearson, Harlow, 2022.</w:t>
      </w:r>
    </w:p>
    <w:p>
      <w:pPr>
        <w:pStyle w:val="ListParagraph"/>
        <w:numPr>
          <w:ilvl w:val="0"/>
          <w:numId w:val="7"/>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David Romer. Advanced Macroeconomics. – McGraw-Hill Education, New York, 2019.</w:t>
      </w:r>
    </w:p>
    <w:p>
      <w:pPr>
        <w:keepNext/>
        <w:spacing w:after="100" w:before="240" w:line="276" w:lineRule="auto"/>
        <w:jc w:val="left"/>
      </w:pPr>
      <w:r>
        <w:rPr>
          <w:rFonts w:ascii="Times New Roman" w:cs="Times New Roman" w:eastAsia="Times New Roman" w:hAnsi="Times New Roman"/>
          <w:b/>
          <w:bCs/>
          <w:sz w:val="28"/>
          <w:szCs w:val="28"/>
          <w:lang w:val="uz-Latn-UZ"/>
        </w:rPr>
        <w:t xml:space="preserve">Axborot manbalari</w:t>
      </w:r>
    </w:p>
    <w:p>
      <w:pPr>
        <w:pStyle w:val="ListParagraph"/>
        <w:numPr>
          <w:ilvl w:val="0"/>
          <w:numId w:val="8"/>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https://www.imf.org</w:t>
      </w:r>
    </w:p>
    <w:p>
      <w:pPr>
        <w:pStyle w:val="ListParagraph"/>
        <w:numPr>
          <w:ilvl w:val="0"/>
          <w:numId w:val="8"/>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https://www.worldbank.org</w:t>
      </w:r>
    </w:p>
    <w:p>
      <w:pPr>
        <w:pStyle w:val="ListParagraph"/>
        <w:numPr>
          <w:ilvl w:val="0"/>
          <w:numId w:val="8"/>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https://data.worldbank.org</w:t>
      </w:r>
    </w:p>
    <w:p>
      <w:pPr>
        <w:pStyle w:val="ListParagraph"/>
        <w:numPr>
          <w:ilvl w:val="0"/>
          <w:numId w:val="8"/>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https://www.stat.uz</w:t>
      </w:r>
    </w:p>
    <w:p>
      <w:pPr>
        <w:pStyle w:val="ListParagraph"/>
        <w:numPr>
          <w:ilvl w:val="0"/>
          <w:numId w:val="8"/>
        </w:numPr>
        <w:spacing w:after="60" w:before="0" w:line="276" w:lineRule="auto"/>
      </w:pPr>
      <w:r>
        <w:rPr>
          <w:rFonts w:ascii="Times New Roman" w:cs="Times New Roman" w:eastAsia="Times New Roman" w:hAnsi="Times New Roman"/>
          <w:b w:val="false"/>
          <w:bCs w:val="false"/>
          <w:i w:val="false"/>
          <w:iCs w:val="false"/>
          <w:sz w:val="28"/>
          <w:szCs w:val="28"/>
          <w:lang w:val="uz-Latn-UZ"/>
        </w:rPr>
        <w:t xml:space="preserve">https://www.cbu.uz</w:t>
      </w:r>
    </w:p>
    <w:p>
      <w:pPr>
        <w:keepNext/>
        <w:spacing w:after="20" w:before="20" w:line="276" w:lineRule="auto"/>
        <w:jc w:val="left"/>
      </w:pPr>
      <w:r>
        <w:rPr>
          <w:rFonts w:ascii="Times New Roman" w:cs="Times New Roman" w:eastAsia="Times New Roman" w:hAnsi="Times New Roman"/>
          <w:b w:val="false"/>
          <w:bCs w:val="false"/>
          <w:sz w:val="28"/>
          <w:szCs w:val="28"/>
          <w:lang w:val="uz-Latn-UZ"/>
        </w:rPr>
        <w:t xml:space="preserve"/>
      </w:r>
    </w:p>
    <w:p>
      <w:pPr>
        <w:keepNext/>
        <w:spacing w:after="40" w:before="40" w:line="276" w:lineRule="auto"/>
        <w:jc w:val="center"/>
      </w:pPr>
      <w:r>
        <w:rPr>
          <w:rFonts w:ascii="Times New Roman" w:cs="Times New Roman" w:eastAsia="Times New Roman" w:hAnsi="Times New Roman"/>
          <w:b/>
          <w:bCs/>
          <w:sz w:val="28"/>
          <w:szCs w:val="28"/>
          <w:lang w:val="uz-Latn-UZ"/>
        </w:rPr>
        <w:t xml:space="preserve">Toshkent davlat iqtisodiyot universiteti</w:t>
      </w:r>
    </w:p>
    <w:p>
      <w:pPr>
        <w:keepNext/>
        <w:spacing w:after="20" w:before="20" w:line="276" w:lineRule="auto"/>
        <w:jc w:val="left"/>
      </w:pPr>
      <w:r>
        <w:rPr>
          <w:rFonts w:ascii="Times New Roman" w:cs="Times New Roman" w:eastAsia="Times New Roman" w:hAnsi="Times New Roman"/>
          <w:b w:val="false"/>
          <w:bCs w:val="false"/>
          <w:sz w:val="28"/>
          <w:szCs w:val="28"/>
          <w:lang w:val="uz-Latn-UZ"/>
        </w:rPr>
        <w:t xml:space="preserve"/>
      </w:r>
    </w:p>
    <w:p>
      <w:pPr>
        <w:keepNext/>
        <w:spacing w:after="20" w:before="80" w:line="276" w:lineRule="auto"/>
        <w:jc w:val="left"/>
      </w:pPr>
      <w:r>
        <w:rPr>
          <w:rFonts w:ascii="Times New Roman" w:cs="Times New Roman" w:eastAsia="Times New Roman" w:hAnsi="Times New Roman"/>
          <w:b/>
          <w:bCs/>
          <w:sz w:val="28"/>
          <w:szCs w:val="28"/>
          <w:lang w:val="uz-Latn-UZ"/>
        </w:rPr>
        <w:t xml:space="preserve">Tuzuvchi(lar):</w:t>
      </w:r>
    </w:p>
    <w:p>
      <w:pPr>
        <w:keepNext/>
        <w:spacing w:after="20" w:before="20" w:line="276" w:lineRule="auto"/>
        <w:jc w:val="left"/>
      </w:pPr>
      <w:r>
        <w:rPr>
          <w:rFonts w:ascii="Times New Roman" w:cs="Times New Roman" w:eastAsia="Times New Roman" w:hAnsi="Times New Roman"/>
          <w:b w:val="false"/>
          <w:bCs w:val="false"/>
          <w:sz w:val="28"/>
          <w:szCs w:val="28"/>
          <w:lang w:val="uz-Latn-UZ"/>
        </w:rPr>
        <w:t xml:space="preserve">Islomova Nigora Rustamovna, Makroiqtisodiyot kafedrasi dotsenti, iqtisodiyot fanlari nomzodi (PhD)</w:t>
      </w:r>
    </w:p>
    <w:p>
      <w:pPr>
        <w:keepNext/>
        <w:spacing w:after="20" w:before="80" w:line="276" w:lineRule="auto"/>
        <w:jc w:val="left"/>
      </w:pPr>
      <w:r>
        <w:rPr>
          <w:rFonts w:ascii="Times New Roman" w:cs="Times New Roman" w:eastAsia="Times New Roman" w:hAnsi="Times New Roman"/>
          <w:b/>
          <w:bCs/>
          <w:sz w:val="28"/>
          <w:szCs w:val="28"/>
          <w:lang w:val="uz-Latn-UZ"/>
        </w:rPr>
        <w:t xml:space="preserve">Taqrizchilar:</w:t>
      </w:r>
    </w:p>
    <w:p>
      <w:pPr>
        <w:keepNext/>
        <w:spacing w:after="20" w:before="20" w:line="276" w:lineRule="auto"/>
        <w:jc w:val="left"/>
      </w:pPr>
      <w:r>
        <w:rPr>
          <w:rFonts w:ascii="Times New Roman" w:cs="Times New Roman" w:eastAsia="Times New Roman" w:hAnsi="Times New Roman"/>
          <w:b w:val="false"/>
          <w:bCs w:val="false"/>
          <w:sz w:val="28"/>
          <w:szCs w:val="28"/>
          <w:lang w:val="uz-Latn-UZ"/>
        </w:rPr>
        <w:t xml:space="preserve">1. </w:t>
      </w:r>
      <w:r>
        <w:rPr>
          <w:rFonts w:ascii="Times New Roman" w:cs="Times New Roman" w:eastAsia="Times New Roman" w:hAnsi="Times New Roman"/>
          <w:b w:val="false"/>
          <w:bCs w:val="false"/>
          <w:sz w:val="28"/>
          <w:szCs w:val="28"/>
          <w:lang w:val="uz-Latn-UZ"/>
        </w:rPr>
        <w:t xml:space="preserve">Sattorov Jahongir Oʻktamovich, iqtisodiyot fanlari doktori (DSc), professor, TDIU «Iqtisodiyot nazariyasi» kafedrasi mudiri</w:t>
      </w:r>
    </w:p>
    <w:p>
      <w:pPr>
        <w:keepNext/>
        <w:spacing w:after="20" w:before="20" w:line="276" w:lineRule="auto"/>
        <w:jc w:val="left"/>
      </w:pPr>
      <w:r>
        <w:rPr>
          <w:rFonts w:ascii="Times New Roman" w:cs="Times New Roman" w:eastAsia="Times New Roman" w:hAnsi="Times New Roman"/>
          <w:b w:val="false"/>
          <w:bCs w:val="false"/>
          <w:sz w:val="28"/>
          <w:szCs w:val="28"/>
          <w:lang w:val="uz-Latn-UZ"/>
        </w:rPr>
        <w:t xml:space="preserve">2. </w:t>
      </w:r>
      <w:r>
        <w:rPr>
          <w:rFonts w:ascii="Times New Roman" w:cs="Times New Roman" w:eastAsia="Times New Roman" w:hAnsi="Times New Roman"/>
          <w:b w:val="false"/>
          <w:bCs w:val="false"/>
          <w:sz w:val="28"/>
          <w:szCs w:val="28"/>
          <w:lang w:val="uz-Latn-UZ"/>
        </w:rPr>
        <w:t xml:space="preserve">Ergashev Doniyor Shuhratovich, iqtisodiyot fanlari nomzodi (PhD), dotsent, Oʻzbekiston Milliy universiteti «Makroiqtisodiyot» kafedrasi</w:t>
      </w:r>
    </w:p>
    <w:p>
      <w:pPr>
        <w:keepNext/>
        <w:spacing w:after="20" w:before="20" w:line="276" w:lineRule="auto"/>
        <w:jc w:val="left"/>
      </w:pPr>
      <w:r>
        <w:rPr>
          <w:rFonts w:ascii="Times New Roman" w:cs="Times New Roman" w:eastAsia="Times New Roman" w:hAnsi="Times New Roman"/>
          <w:b w:val="false"/>
          <w:bCs w:val="false"/>
          <w:sz w:val="28"/>
          <w:szCs w:val="28"/>
          <w:lang w:val="uz-Latn-UZ"/>
        </w:rPr>
        <w:t xml:space="preserve"/>
      </w:r>
    </w:p>
    <w:p>
      <w:pPr>
        <w:spacing w:after="20" w:before="20" w:line="276" w:lineRule="auto"/>
        <w:jc w:val="left"/>
      </w:pPr>
      <w:r>
        <w:rPr>
          <w:rFonts w:ascii="Times New Roman" w:cs="Times New Roman" w:eastAsia="Times New Roman" w:hAnsi="Times New Roman"/>
          <w:b w:val="false"/>
          <w:bCs w:val="false"/>
          <w:sz w:val="28"/>
          <w:szCs w:val="28"/>
          <w:lang w:val="uz-Latn-UZ"/>
        </w:rPr>
        <w:t xml:space="preserve">Fan dasturi </w:t>
      </w:r>
      <w:r>
        <w:rPr>
          <w:rFonts w:ascii="Times New Roman" w:cs="Times New Roman" w:eastAsia="Times New Roman" w:hAnsi="Times New Roman"/>
          <w:b w:val="false"/>
          <w:bCs w:val="false"/>
          <w:sz w:val="28"/>
          <w:szCs w:val="28"/>
          <w:lang w:val="uz-Latn-UZ"/>
        </w:rPr>
        <w:t xml:space="preserve">Toshkent davlat iqtisodiyot universiteti</w:t>
      </w:r>
      <w:r>
        <w:rPr>
          <w:rFonts w:ascii="Times New Roman" w:cs="Times New Roman" w:eastAsia="Times New Roman" w:hAnsi="Times New Roman"/>
          <w:b w:val="false"/>
          <w:bCs w:val="false"/>
          <w:sz w:val="28"/>
          <w:szCs w:val="28"/>
          <w:lang w:val="uz-Latn-UZ"/>
        </w:rPr>
        <w:t xml:space="preserve"> Kengashining </w:t>
      </w:r>
      <w:r>
        <w:rPr>
          <w:rFonts w:ascii="Times New Roman" w:cs="Times New Roman" w:eastAsia="Times New Roman" w:hAnsi="Times New Roman"/>
          <w:b w:val="false"/>
          <w:bCs w:val="false"/>
          <w:sz w:val="28"/>
          <w:szCs w:val="28"/>
          <w:lang w:val="uz-Latn-UZ"/>
        </w:rPr>
        <w:t xml:space="preserve">2025-yil 29-avgust</w:t>
      </w:r>
      <w:r>
        <w:rPr>
          <w:rFonts w:ascii="Times New Roman" w:cs="Times New Roman" w:eastAsia="Times New Roman" w:hAnsi="Times New Roman"/>
          <w:b w:val="false"/>
          <w:bCs w:val="false"/>
          <w:sz w:val="28"/>
          <w:szCs w:val="28"/>
          <w:lang w:val="uz-Latn-UZ"/>
        </w:rPr>
        <w:t xml:space="preserve">dagi </w:t>
      </w:r>
      <w:r>
        <w:rPr>
          <w:rFonts w:ascii="Times New Roman" w:cs="Times New Roman" w:eastAsia="Times New Roman" w:hAnsi="Times New Roman"/>
          <w:b w:val="false"/>
          <w:bCs w:val="false"/>
          <w:sz w:val="28"/>
          <w:szCs w:val="28"/>
          <w:lang w:val="uz-Latn-UZ"/>
        </w:rPr>
        <w:t xml:space="preserve">7</w:t>
      </w:r>
      <w:r>
        <w:rPr>
          <w:rFonts w:ascii="Times New Roman" w:cs="Times New Roman" w:eastAsia="Times New Roman" w:hAnsi="Times New Roman"/>
          <w:b w:val="false"/>
          <w:bCs w:val="false"/>
          <w:sz w:val="28"/>
          <w:szCs w:val="28"/>
          <w:lang w:val="uz-Latn-UZ"/>
        </w:rPr>
        <w:t xml:space="preserve">-sonli bayoni bilan tasdiqlangan.</w:t>
      </w:r>
    </w:p>
    <w:sectPr>
      <w:footerReference w:type="default" r:id="rId7"/>
      <w:pgSz w:w="11906" w:h="16838" w:orient="portrait"/>
      <w:pgMar w:top="1134" w:right="1134" w:bottom="1418"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8"/>
        <w:szCs w:val="28"/>
        <w:lang w:val="uz-Latn-UZ"/>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rPr>
        <w:rFonts w:ascii="Times New Roman" w:cs="Times New Roman" w:eastAsia="Times New Roman" w:hAnsi="Times New Roman"/>
        <w:sz w:val="28"/>
        <w:szCs w:val="28"/>
      </w:rPr>
    </w:lvl>
  </w:abstractNum>
  <w:abstractNum w:abstractNumId="3" w15:restartNumberingAfterBreak="0">
    <w:multiLevelType w:val="hybridMultilevel"/>
    <w:lvl w:ilvl="0" w15:tentative="1">
      <w:start w:val="1"/>
      <w:numFmt w:val="bullet"/>
      <w:lvlText w:val="•"/>
      <w:lvlJc w:val="left"/>
      <w:pPr>
        <w:ind w:left="720" w:hanging="360"/>
      </w:pPr>
      <w:rPr>
        <w:rFonts w:ascii="Times New Roman" w:cs="Times New Roman" w:eastAsia="Times New Roman" w:hAnsi="Times New Roman"/>
        <w:sz w:val="28"/>
        <w:szCs w:val="28"/>
      </w:rPr>
    </w:lvl>
  </w:abstractNum>
  <w:num w:numId="1">
    <w:abstractNumId w:val="1"/>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3"/>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autoHyphenation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Makroiqtisodiyot</dc:title>
  <dc:creator>Tadqiq.uz</dc:creator>
  <cp:lastModifiedBy>Un-named</cp:lastModifiedBy>
  <cp:revision>1</cp:revision>
  <dcterms:created xsi:type="dcterms:W3CDTF">2026-07-24T19:19:08.136Z</dcterms:created>
  <dcterms:modified xsi:type="dcterms:W3CDTF">2026-07-24T19:19:08.136Z</dcterms:modified>
</cp:coreProperties>
</file>

<file path=docProps/custom.xml><?xml version="1.0" encoding="utf-8"?>
<Properties xmlns="http://schemas.openxmlformats.org/officeDocument/2006/custom-properties" xmlns:vt="http://schemas.openxmlformats.org/officeDocument/2006/docPropsVTypes"/>
</file>