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 w:line="360" w:lineRule="auto"/>
        <w:jc w:val="center"/>
      </w:pPr>
      <w:r>
        <w:rPr>
          <w:rFonts w:ascii="Times New Roman" w:cs="Times New Roman" w:eastAsia="Times New Roman" w:hAnsi="Times New Roman"/>
          <w:b w:val="false"/>
          <w:bCs w:val="false"/>
          <w:sz w:val="28"/>
          <w:szCs w:val="28"/>
          <w:lang w:val="uz-Latn-UZ"/>
        </w:rPr>
        <w:t xml:space="preserve">OʻZBEKISTON RESPUBLIKASI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OLIY TAʼLIM, FAN VA INNOVATSIYALAR VAZIRLIGI</w:t>
      </w:r>
    </w:p>
    <w:p>
      <w:pPr>
        <w:spacing w:after="40" w:before="40" w:line="360" w:lineRule="auto"/>
        <w:jc w:val="center"/>
      </w:pPr>
      <w:r>
        <w:rPr>
          <w:rFonts w:ascii="Times New Roman" w:cs="Times New Roman" w:eastAsia="Times New Roman" w:hAnsi="Times New Roman"/>
          <w:b/>
          <w:bCs/>
          <w:sz w:val="28"/>
          <w:szCs w:val="28"/>
          <w:lang w:val="uz-Latn-UZ"/>
        </w:rPr>
        <w:t xml:space="preserve">Toshkent davlat iqtisodiyot universiteti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Moliya va buxgalteriya hisobi fakulteti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Investitsiyalar va bozor tahlili kafedrasi</w:t>
      </w:r>
    </w:p>
    <w:p>
      <w:r>
        <w:t xml:space="preserve"/>
      </w:r>
    </w:p>
    <w:p>
      <w:r>
        <w:t xml:space="preserve"/>
      </w:r>
    </w:p>
    <w:p>
      <w:pPr>
        <w:spacing w:after="40" w:before="40" w:line="360" w:lineRule="auto"/>
        <w:jc w:val="center"/>
      </w:pPr>
      <w:r>
        <w:rPr>
          <w:rFonts w:ascii="Times New Roman" w:cs="Times New Roman" w:eastAsia="Times New Roman" w:hAnsi="Times New Roman"/>
          <w:b/>
          <w:bCs/>
          <w:sz w:val="30"/>
          <w:szCs w:val="30"/>
          <w:lang w:val="uz-Latn-UZ"/>
        </w:rPr>
        <w:t xml:space="preserve">KEYS-STADILAR TOʻPLAMI</w:t>
      </w:r>
    </w:p>
    <w:p>
      <w:pPr>
        <w:spacing w:after="40" w:before="40" w:line="360" w:lineRule="auto"/>
        <w:jc w:val="center"/>
      </w:pPr>
      <w:r>
        <w:rPr>
          <w:rFonts w:ascii="Times New Roman" w:cs="Times New Roman" w:eastAsia="Times New Roman" w:hAnsi="Times New Roman"/>
          <w:b/>
          <w:bCs/>
          <w:sz w:val="30"/>
          <w:szCs w:val="30"/>
          <w:lang w:val="uz-Latn-UZ"/>
        </w:rPr>
        <w:t xml:space="preserve">«Investitsiyalarni tahlil qilish» fanidan</w:t>
      </w:r>
    </w:p>
    <w:p>
      <w:r>
        <w:t xml:space="preserve"/>
      </w:r>
    </w:p>
    <w:p>
      <w:r>
        <w:t xml:space="preserve"/>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Tuzuvchi: </w:t>
      </w:r>
      <w:r>
        <w:rPr>
          <w:rFonts w:ascii="Times New Roman" w:cs="Times New Roman" w:eastAsia="Times New Roman" w:hAnsi="Times New Roman"/>
          <w:b w:val="false"/>
          <w:bCs w:val="false"/>
          <w:sz w:val="28"/>
          <w:szCs w:val="28"/>
          <w:lang w:val="uz-Latn-UZ"/>
        </w:rPr>
        <w:t xml:space="preserve">dots. N. Xalimjonov</w:t>
      </w:r>
    </w:p>
    <w:p>
      <w:r>
        <w:t xml:space="preserve"/>
      </w:r>
    </w:p>
    <w:p>
      <w:r>
        <w:t xml:space="preserve"/>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Toshkent - 2025-yil</w:t>
      </w:r>
    </w:p>
    <w:p>
      <w:pPr>
        <w:keepNext/>
        <w:pageBreakBefore/>
        <w:spacing w:after="100" w:before="240" w:line="360" w:lineRule="auto"/>
        <w:jc w:val="left"/>
      </w:pPr>
      <w:r>
        <w:rPr>
          <w:rFonts w:ascii="Times New Roman" w:cs="Times New Roman" w:eastAsia="Times New Roman" w:hAnsi="Times New Roman"/>
          <w:b/>
          <w:bCs/>
          <w:sz w:val="28"/>
          <w:szCs w:val="28"/>
          <w:lang w:val="uz-Latn-UZ"/>
        </w:rPr>
        <w:t xml:space="preserve">Kirish</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 Ushbu keys-stadilar toʻplami Investitsiyalarni tahlil qilish fanida nazariy bilimlarni amaliy vaziyatlar bilan bogʻlash, investitsiya qarorlarini asoslash va moliyaviy axborotni talqin qilish koʻnikmalarini rivojlantirish uchun moʻljallangan. Toʻplamdagi topshiriqlar talabalardan maʼlumotni tanlash, muammoni ajratish, muqobil variantlarni solishtirish va asoslangan xulosa chiqarishni talab etadi. Keyslar bilan ishlashda avval vaziyat diqqat bilan oʻqiladi, soʻng asosiy muammo aniqlanadi, keyin hisob-kitob va tahlil amalga oshiriladi, yakunda esa tavsiya ishlab chiqilib himoya qilinadi.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KEYSLAR BANKI</w:t>
      </w:r>
    </w:p>
    <w:p>
      <w:pPr>
        <w:keepNext/>
        <w:spacing w:after="100" w:before="240" w:line="360" w:lineRule="auto"/>
        <w:jc w:val="left"/>
      </w:pPr>
      <w:r>
        <w:rPr>
          <w:rFonts w:ascii="Times New Roman" w:cs="Times New Roman" w:eastAsia="Times New Roman" w:hAnsi="Times New Roman"/>
          <w:b/>
          <w:bCs/>
          <w:sz w:val="28"/>
          <w:szCs w:val="28"/>
          <w:lang w:val="uz-Latn-UZ"/>
        </w:rPr>
        <w:t xml:space="preserve">1-keys. Suv nasoslari ishlab chiqarish liniyasini yangilash boʻyicha moliyaviy qaror</w:t>
      </w:r>
    </w:p>
    <w:p>
      <w:pPr>
        <w:keepNext/>
        <w:spacing w:after="20" w:before="80" w:line="360" w:lineRule="auto"/>
        <w:jc w:val="left"/>
      </w:pPr>
      <w:r>
        <w:rPr>
          <w:rFonts w:ascii="Times New Roman" w:cs="Times New Roman" w:eastAsia="Times New Roman" w:hAnsi="Times New Roman"/>
          <w:b/>
          <w:bCs/>
          <w:sz w:val="28"/>
          <w:szCs w:val="28"/>
          <w:lang w:val="uz-Latn-UZ"/>
        </w:rPr>
        <w:t xml:space="preserve">Pedagogik annotatsiya</w:t>
      </w:r>
    </w:p>
    <w:p>
      <w:pPr>
        <w:keepNext/>
        <w:spacing w:after="20" w:before="80" w:line="360" w:lineRule="auto"/>
        <w:jc w:val="left"/>
      </w:pPr>
      <w:r>
        <w:rPr>
          <w:rFonts w:ascii="Times New Roman" w:cs="Times New Roman" w:eastAsia="Times New Roman" w:hAnsi="Times New Roman"/>
          <w:b/>
          <w:bCs/>
          <w:sz w:val="28"/>
          <w:szCs w:val="28"/>
          <w:lang w:val="uz-Latn-UZ"/>
        </w:rPr>
        <w:t xml:space="preserve">Keysning maqsadi: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Talabada investitsiya loyihasining sof joriy qiymatini hisoblash va uning asosida qaror qabul qilish koʻnikmasini shakllantirish.</w:t>
      </w:r>
    </w:p>
    <w:p>
      <w:pPr>
        <w:keepNext/>
        <w:spacing w:after="20" w:before="80" w:line="360" w:lineRule="auto"/>
        <w:jc w:val="left"/>
      </w:pPr>
      <w:r>
        <w:rPr>
          <w:rFonts w:ascii="Times New Roman" w:cs="Times New Roman" w:eastAsia="Times New Roman" w:hAnsi="Times New Roman"/>
          <w:b/>
          <w:bCs/>
          <w:sz w:val="28"/>
          <w:szCs w:val="28"/>
          <w:lang w:val="uz-Latn-UZ"/>
        </w:rPr>
        <w:t xml:space="preserve">Kutilayotgan natijalar:</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Diskontlangan pul oqimlarini toʻgʻri hisoblay oladi.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NPV natijasini iqtisodiy mazmun bilan sharhlaydi.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Loyiha qabul qilinishi yoki rad etilishini asoslaydi.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Diskont stavkasi oʻzgarishining taʼsirini tushuntiradi.</w:t>
      </w:r>
    </w:p>
    <w:p>
      <w:pPr>
        <w:keepNext/>
        <w:spacing w:after="20" w:before="80" w:line="360" w:lineRule="auto"/>
        <w:jc w:val="left"/>
      </w:pPr>
      <w:r>
        <w:rPr>
          <w:rFonts w:ascii="Times New Roman" w:cs="Times New Roman" w:eastAsia="Times New Roman" w:hAnsi="Times New Roman"/>
          <w:b/>
          <w:bCs/>
          <w:sz w:val="28"/>
          <w:szCs w:val="28"/>
          <w:lang w:val="uz-Latn-UZ"/>
        </w:rPr>
        <w:t xml:space="preserve">Keysni muvaffaqiyatli bajarish uchun talaba quyidagi bilimlarga ega boʻlishi lozim:</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Pul oqimlari tushunchasi.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Diskontlash formulasi.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Joriy qiymat va kelgusi qiymat farqi.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Investitsiya loyihasi samaradorligi mezonlari.</w:t>
      </w:r>
    </w:p>
    <w:p>
      <w:pPr>
        <w:keepNext/>
        <w:spacing w:after="20" w:before="80" w:line="360" w:lineRule="auto"/>
        <w:jc w:val="left"/>
      </w:pPr>
      <w:r>
        <w:rPr>
          <w:rFonts w:ascii="Times New Roman" w:cs="Times New Roman" w:eastAsia="Times New Roman" w:hAnsi="Times New Roman"/>
          <w:b/>
          <w:bCs/>
          <w:sz w:val="28"/>
          <w:szCs w:val="28"/>
          <w:lang w:val="uz-Latn-UZ"/>
        </w:rPr>
        <w:t xml:space="preserve">Keysda ishlatilgan maʼlumotlar manbai: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Keys maʼlumotlari korxona tomonidan taqdim etilgan shartli moliyaviy prognozlar asosida tuzildi, uslubiy izohlar esa investitsiya tahlili boʻyicha klassik darsliklarga tayandi.</w:t>
      </w:r>
    </w:p>
    <w:p>
      <w:pPr>
        <w:keepNext/>
        <w:spacing w:after="20" w:before="80" w:line="360" w:lineRule="auto"/>
        <w:jc w:val="left"/>
      </w:pPr>
      <w:r>
        <w:rPr>
          <w:rFonts w:ascii="Times New Roman" w:cs="Times New Roman" w:eastAsia="Times New Roman" w:hAnsi="Times New Roman"/>
          <w:b/>
          <w:bCs/>
          <w:sz w:val="28"/>
          <w:szCs w:val="28"/>
          <w:lang w:val="uz-Latn-UZ"/>
        </w:rPr>
        <w:t xml:space="preserve">Keysning tipologik xususiyatlariga koʻra tavsifnomasi:</w:t>
      </w:r>
    </w:p>
    <w:tbl>
      <w:tblPr>
        <w:tblW w:type="dxa" w:w="9354"/>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4133"/>
        <w:gridCol w:w="5221"/>
      </w:tblGrid>
      <w:tr>
        <w:trPr>
          <w:cantSplit/>
          <w:tblHeader w:val="false"/>
        </w:trPr>
        <w:tc>
          <w:tcPr>
            <w:tcW w:type="dxa" w:w="413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Maʼlumot manbasi boʻyicha</w:t>
            </w:r>
          </w:p>
        </w:tc>
        <w:tc>
          <w:tcPr>
            <w:tcW w:type="dxa" w:w="522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statistik va moliyaviy hisobot maʼlumotlari</w:t>
            </w:r>
          </w:p>
        </w:tc>
      </w:tr>
      <w:tr>
        <w:trPr>
          <w:cantSplit/>
          <w:tblHeader w:val="false"/>
        </w:trPr>
        <w:tc>
          <w:tcPr>
            <w:tcW w:type="dxa" w:w="413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Maqsadi boʻyicha</w:t>
            </w:r>
          </w:p>
        </w:tc>
        <w:tc>
          <w:tcPr>
            <w:tcW w:type="dxa" w:w="522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hisob-kitob va prognoz qilishga oʻrgatuvchi keys</w:t>
            </w:r>
          </w:p>
        </w:tc>
      </w:tr>
      <w:tr>
        <w:trPr>
          <w:cantSplit/>
          <w:tblHeader w:val="false"/>
        </w:trPr>
        <w:tc>
          <w:tcPr>
            <w:tcW w:type="dxa" w:w="413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Hajmi boʻyicha</w:t>
            </w:r>
          </w:p>
        </w:tc>
        <w:tc>
          <w:tcPr>
            <w:tcW w:type="dxa" w:w="522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katta hajmli</w:t>
            </w:r>
          </w:p>
        </w:tc>
      </w:tr>
      <w:tr>
        <w:trPr>
          <w:cantSplit/>
          <w:tblHeader w:val="false"/>
        </w:trPr>
        <w:tc>
          <w:tcPr>
            <w:tcW w:type="dxa" w:w="413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Ishtirokchilar soni nuqtai nazaridan</w:t>
            </w:r>
          </w:p>
        </w:tc>
        <w:tc>
          <w:tcPr>
            <w:tcW w:type="dxa" w:w="522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subʼektli</w:t>
            </w:r>
          </w:p>
        </w:tc>
      </w:tr>
      <w:tr>
        <w:trPr>
          <w:cantSplit/>
          <w:tblHeader w:val="false"/>
        </w:trPr>
        <w:tc>
          <w:tcPr>
            <w:tcW w:type="dxa" w:w="413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Syujetning mavjudligi nuqtai nazaridan</w:t>
            </w:r>
          </w:p>
        </w:tc>
        <w:tc>
          <w:tcPr>
            <w:tcW w:type="dxa" w:w="522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syujetli</w:t>
            </w:r>
          </w:p>
        </w:tc>
      </w:tr>
    </w:tbl>
    <w:p>
      <w:pPr>
        <w:keepNext/>
        <w:spacing w:after="20" w:before="80" w:line="360" w:lineRule="auto"/>
        <w:jc w:val="left"/>
      </w:pPr>
      <w:r>
        <w:rPr>
          <w:rFonts w:ascii="Times New Roman" w:cs="Times New Roman" w:eastAsia="Times New Roman" w:hAnsi="Times New Roman"/>
          <w:b/>
          <w:bCs/>
          <w:sz w:val="28"/>
          <w:szCs w:val="28"/>
          <w:lang w:val="uz-Latn-UZ"/>
        </w:rPr>
        <w:t xml:space="preserve">Keys bayoni.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Andijon shahridagi «HydroTech-AVO» MChJ 2025 yil 2 fevralda mavjud yigʻuv liniyasini yangilash uchun yangi investitsiya loyihasini koʻrib chiqdi. Korxona direktori Nodirbek Qodirov import qismlarga qaramlikni kamaytirish uchun mahalliylashtirilgan nasos agregatlari liniyasini ishga tushirishni rejalashtirdi. Loyiha boʻyicha boshlangʻich kapital qoʻyilma 820 mln soʻmni tashkil etadi. Moliyaviy boʻlim besh yil davomida quyidagi sof pul oqimlarini prognoz qildi: 1-yil 260 mln soʻm, 2-yil 290 mln soʻm, 3-yil 320 mln soʻm, 4-yil 340 mln soʻm, 5-yil 360 mln soʻm. Diskont stavkasi sifatida 16 foiz qabul qilingan. Direktor kengashi investitsiya qiymati korxona kapitali qiymatidan yuqori boʻlmagan taqdirda loyiha maʼqullanishini bildirdi. Sizdan loyiha boʻyicha sof joriy qiymatni aniqlash, natijani sharhlash va qaror mazmunini asoslash soʻraladi. Hisob-kitoblar yakuniy qaror qabul qilishdan oldingi muhokama uchun tayyorlanadi.</w:t>
      </w:r>
    </w:p>
    <w:p>
      <w:pPr>
        <w:keepNext/>
        <w:spacing w:after="20" w:before="80" w:line="360" w:lineRule="auto"/>
        <w:jc w:val="left"/>
      </w:pPr>
      <w:r>
        <w:rPr>
          <w:rFonts w:ascii="Times New Roman" w:cs="Times New Roman" w:eastAsia="Times New Roman" w:hAnsi="Times New Roman"/>
          <w:b/>
          <w:bCs/>
          <w:sz w:val="28"/>
          <w:szCs w:val="28"/>
          <w:lang w:val="uz-Latn-UZ"/>
        </w:rPr>
        <w:t xml:space="preserve">1-jadval. Loyiha pul oqimlari va diskontlash parametrlari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813"/>
        <w:gridCol w:w="4677"/>
        <w:gridCol w:w="3864"/>
      </w:tblGrid>
      <w:tr>
        <w:trPr>
          <w:cantSplit/>
          <w:tblHeader/>
        </w:trPr>
        <w:tc>
          <w:tcPr>
            <w:tcW w:type="dxa" w:w="81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Yil</w:t>
            </w:r>
          </w:p>
        </w:tc>
        <w:tc>
          <w:tcPr>
            <w:tcW w:type="dxa" w:w="467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Sof pul oqimi, mln soʻm</w:t>
            </w:r>
          </w:p>
        </w:tc>
        <w:tc>
          <w:tcPr>
            <w:tcW w:type="dxa" w:w="386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Diskont stavkasi, %</w:t>
            </w:r>
          </w:p>
        </w:tc>
      </w:tr>
      <w:tr>
        <w:trPr>
          <w:cantSplit/>
          <w:tblHeader w:val="false"/>
        </w:trPr>
        <w:tc>
          <w:tcPr>
            <w:tcW w:type="dxa" w:w="8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0</w:t>
            </w:r>
          </w:p>
        </w:tc>
        <w:tc>
          <w:tcPr>
            <w:tcW w:type="dxa" w:w="467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-820</w:t>
            </w:r>
          </w:p>
        </w:tc>
        <w:tc>
          <w:tcPr>
            <w:tcW w:type="dxa" w:w="3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16</w:t>
            </w:r>
          </w:p>
        </w:tc>
      </w:tr>
      <w:tr>
        <w:trPr>
          <w:cantSplit/>
          <w:tblHeader w:val="false"/>
        </w:trPr>
        <w:tc>
          <w:tcPr>
            <w:tcW w:type="dxa" w:w="8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w:t>
            </w:r>
          </w:p>
        </w:tc>
        <w:tc>
          <w:tcPr>
            <w:tcW w:type="dxa" w:w="467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260</w:t>
            </w:r>
          </w:p>
        </w:tc>
        <w:tc>
          <w:tcPr>
            <w:tcW w:type="dxa" w:w="3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16</w:t>
            </w:r>
          </w:p>
        </w:tc>
      </w:tr>
      <w:tr>
        <w:trPr>
          <w:cantSplit/>
          <w:tblHeader w:val="false"/>
        </w:trPr>
        <w:tc>
          <w:tcPr>
            <w:tcW w:type="dxa" w:w="8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2</w:t>
            </w:r>
          </w:p>
        </w:tc>
        <w:tc>
          <w:tcPr>
            <w:tcW w:type="dxa" w:w="467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290</w:t>
            </w:r>
          </w:p>
        </w:tc>
        <w:tc>
          <w:tcPr>
            <w:tcW w:type="dxa" w:w="3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16</w:t>
            </w:r>
          </w:p>
        </w:tc>
      </w:tr>
      <w:tr>
        <w:trPr>
          <w:cantSplit/>
          <w:tblHeader w:val="false"/>
        </w:trPr>
        <w:tc>
          <w:tcPr>
            <w:tcW w:type="dxa" w:w="8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3</w:t>
            </w:r>
          </w:p>
        </w:tc>
        <w:tc>
          <w:tcPr>
            <w:tcW w:type="dxa" w:w="467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320</w:t>
            </w:r>
          </w:p>
        </w:tc>
        <w:tc>
          <w:tcPr>
            <w:tcW w:type="dxa" w:w="3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16</w:t>
            </w:r>
          </w:p>
        </w:tc>
      </w:tr>
      <w:tr>
        <w:trPr>
          <w:cantSplit/>
          <w:tblHeader w:val="false"/>
        </w:trPr>
        <w:tc>
          <w:tcPr>
            <w:tcW w:type="dxa" w:w="8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4</w:t>
            </w:r>
          </w:p>
        </w:tc>
        <w:tc>
          <w:tcPr>
            <w:tcW w:type="dxa" w:w="467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340</w:t>
            </w:r>
          </w:p>
        </w:tc>
        <w:tc>
          <w:tcPr>
            <w:tcW w:type="dxa" w:w="3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16</w:t>
            </w:r>
          </w:p>
        </w:tc>
      </w:tr>
      <w:tr>
        <w:trPr>
          <w:cantSplit/>
          <w:tblHeader w:val="false"/>
        </w:trPr>
        <w:tc>
          <w:tcPr>
            <w:tcW w:type="dxa" w:w="8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5</w:t>
            </w:r>
          </w:p>
        </w:tc>
        <w:tc>
          <w:tcPr>
            <w:tcW w:type="dxa" w:w="467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360</w:t>
            </w:r>
          </w:p>
        </w:tc>
        <w:tc>
          <w:tcPr>
            <w:tcW w:type="dxa" w:w="3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16</w:t>
            </w:r>
          </w:p>
        </w:tc>
      </w:tr>
    </w:tbl>
    <w:p>
      <w:pPr>
        <w:keepNext/>
        <w:spacing w:after="20" w:before="80" w:line="360" w:lineRule="auto"/>
        <w:jc w:val="left"/>
      </w:pPr>
      <w:r>
        <w:rPr>
          <w:rFonts w:ascii="Times New Roman" w:cs="Times New Roman" w:eastAsia="Times New Roman" w:hAnsi="Times New Roman"/>
          <w:b/>
          <w:bCs/>
          <w:sz w:val="28"/>
          <w:szCs w:val="28"/>
          <w:lang w:val="uz-Latn-UZ"/>
        </w:rPr>
        <w:t xml:space="preserve">Muammoli savollar: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Berilgan pul oqimlari va 16 foizlik diskont stavkasi asosida loyihaning sof joriy qiymatini hisoblang. (3 ball)</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NPV natijasiga koʻra loyiha maʼqullanishi kerakmi yoki rad etilishi kerakmi, izohlang. (2 ball)</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Agar 5-yildagi pul oqimi 360 mln soʻmdan 420 mln soʻmga oshsa, NPV qanday yoʻnalishda oʻzgaradi, qisqacha tushuntiring. (2 ball)</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Sof joriy qiymat usulining ushbu qarorda afzalligi nimada ekanini koʻrsating. (1 ball)</w:t>
      </w:r>
    </w:p>
    <w:p>
      <w:pPr>
        <w:keepNext/>
        <w:spacing w:after="20" w:before="80" w:line="360" w:lineRule="auto"/>
        <w:jc w:val="left"/>
      </w:pPr>
      <w:r>
        <w:rPr>
          <w:rFonts w:ascii="Times New Roman" w:cs="Times New Roman" w:eastAsia="Times New Roman" w:hAnsi="Times New Roman"/>
          <w:b/>
          <w:bCs/>
          <w:sz w:val="28"/>
          <w:szCs w:val="28"/>
          <w:lang w:val="uz-Latn-UZ"/>
        </w:rPr>
        <w:t xml:space="preserve">Manba:</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Richard A. Brealey, Stewart C. Myers, Franklin Allen. Principles of Corporate Finance. – McGraw-Hill Education, 2020.</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Stephen A. Ross, Randolph W. Westerfield, Jeffrey Jaffe. Corporate Finance. – McGraw-Hill Education, 2022.</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Aswath Damodaran. Applied Corporate Finance. – John Wiley &amp; Sons, 2014.</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tahlili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Pul oqimlarini diskontlab yigʻish, soʻng boshlangʻich investitsiyani ayrish; musbat NPV loyiha qiymat yaratishini bildiradi.</w:t>
      </w:r>
    </w:p>
    <w:p>
      <w:pPr>
        <w:keepNext/>
        <w:spacing w:after="20" w:before="80" w:line="360" w:lineRule="auto"/>
        <w:jc w:val="left"/>
      </w:pPr>
      <w:r>
        <w:rPr>
          <w:rFonts w:ascii="Times New Roman" w:cs="Times New Roman" w:eastAsia="Times New Roman" w:hAnsi="Times New Roman"/>
          <w:b/>
          <w:bCs/>
          <w:sz w:val="28"/>
          <w:szCs w:val="28"/>
          <w:lang w:val="uz-Latn-UZ"/>
        </w:rPr>
        <w:t xml:space="preserve">Talabalarga metodik koʻrsatma:</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 bir yil uchun alohida diskont koeffitsiyentini toping.</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Pul oqimlarini joriy qiymatga keltirib, ularni jamlang.</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Boshlangʻich qoʻyilmani ayirishni unutmang.</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Natijani faqat son bilan emas, boshqaruv qarori nuqtai nazaridan ham talqin qiling.</w:t>
      </w:r>
    </w:p>
    <w:p>
      <w:pPr>
        <w:keepNext/>
        <w:spacing w:after="20" w:before="80" w:line="360" w:lineRule="auto"/>
        <w:jc w:val="left"/>
      </w:pPr>
      <w:r>
        <w:rPr>
          <w:rFonts w:ascii="Times New Roman" w:cs="Times New Roman" w:eastAsia="Times New Roman" w:hAnsi="Times New Roman"/>
          <w:b/>
          <w:bCs/>
          <w:sz w:val="28"/>
          <w:szCs w:val="28"/>
          <w:lang w:val="uz-Latn-UZ"/>
        </w:rPr>
        <w:t xml:space="preserve">Keysni yechish jarayoni: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1-qadam: Har bir yil uchun diskont koeffitsiyentini hisoblang: 1/(1+0,16)ᵗ.</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2-qadam: Har bir pul oqimini tegishli koeffitsiyentga koʻpaytirib joriy qiymatni toping.</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3-qadam: Barcha joriy qiymatlarni qoʻshing.</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4-qadam: Yigʻindidan 820 mln soʻm boshlangʻich investitsiyani ayring.</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5-qadam: NPV musbat boʻlsa loyiha qabul qilinadi, manfiy boʻlsa rad etiladi.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6-qadam: 5-yil pul oqimi oshsa, yakuniy NPV ham oshishini sabab bilan koʻrsating.</w:t>
      </w:r>
    </w:p>
    <w:p>
      <w:pPr>
        <w:keepNext/>
        <w:spacing w:after="20" w:before="80" w:line="360" w:lineRule="auto"/>
        <w:jc w:val="left"/>
      </w:pPr>
      <w:r>
        <w:rPr>
          <w:rFonts w:ascii="Times New Roman" w:cs="Times New Roman" w:eastAsia="Times New Roman" w:hAnsi="Times New Roman"/>
          <w:b/>
          <w:bCs/>
          <w:sz w:val="28"/>
          <w:szCs w:val="28"/>
          <w:lang w:val="uz-Latn-UZ"/>
        </w:rPr>
        <w:t xml:space="preserve">Oʻqituvchining yechimi: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Hisob-kitob natijasi boʻyicha loyiha pul oqimlarining joriy qiymatlari taxminan 224,14; 215,49; 204,99; 187,79 va 171,40 mln soʻmni beradi. Ularning yigʻindisi 1003,81 mln soʻmga teng. Boshlangʻich 820 mln soʻm qoʻyilmani ayirganda NPV taxminan 183,81 mln soʻm chiqadi. Demak, loyiha ijobiy sof joriy qiymatga ega va qabul qilinishi kerak. 5-yildagi pul oqimi 420 mln soʻmga oshsa, NPV yana koʻpayadi, chunki uzoq muddatli ijobiy pul oqimining joriy qiymati ham ortadi.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2-keys. Bozor tebranishlari sharoitida zavod quvvatini kengaytirish qarori</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bayoni.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Namangan viloyatidagi «Sanoat Plast» AJ 2024 yil 18 noyabr kuni polimer mahsulotlari ishlab chiqarish sexini kengaytirish boʻyicha investitsiya tashabbusini muhokama qildi. Loyiha rahbari Malika Ahmedova uch xil bozor stsenariysini ishlab chiqdi: optimistik holatda qoʻshimcha eksport shartnomalari imzolanadi, bazaviy holatda mavjud buyurtmalar saqlanadi, pessimistik holatda esa xomashyo narxi oshib, ayrim xaridorlar buyurtmani kamaytiradi. Tahlil uchun loyiha boʻyicha taxminiy sof joriy qiymatlar ham oldindan hisoblab qoʻyilgan: optimistik stsenariyda 2100 mln soʻm, bazaviy stsenariyda 1200 mln soʻm, pessimistik stsenariyda -300 mln soʻm. Boshqaruv kengashi faqat oʻrtacha natijaga emas, stsenariylar boʻyicha ehtimoliy yoʻqotishlar va foydalar taqsimotiga ham eʼtibor berishni talab qildi. Sizdan stsenariylar asosida kutilayotgan qiymatni aniqlash, eng xavfli holatni ajratish va loyiha riskini boshqarish boʻyicha xulosa berish soʻraladi.</w:t>
      </w:r>
    </w:p>
    <w:p>
      <w:pPr>
        <w:keepNext/>
        <w:spacing w:after="20" w:before="80" w:line="360" w:lineRule="auto"/>
        <w:jc w:val="left"/>
      </w:pPr>
      <w:r>
        <w:rPr>
          <w:rFonts w:ascii="Times New Roman" w:cs="Times New Roman" w:eastAsia="Times New Roman" w:hAnsi="Times New Roman"/>
          <w:b/>
          <w:bCs/>
          <w:sz w:val="28"/>
          <w:szCs w:val="28"/>
          <w:lang w:val="uz-Latn-UZ"/>
        </w:rPr>
        <w:t xml:space="preserve">2-jadval. Loyiha stsenariylari boʻyicha taxminiy NPV qiymatlari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1686"/>
        <w:gridCol w:w="3373"/>
        <w:gridCol w:w="4295"/>
      </w:tblGrid>
      <w:tr>
        <w:trPr>
          <w:cantSplit/>
          <w:tblHeader/>
        </w:trPr>
        <w:tc>
          <w:tcPr>
            <w:tcW w:type="dxa" w:w="1686"/>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Stsenariy</w:t>
            </w:r>
          </w:p>
        </w:tc>
        <w:tc>
          <w:tcPr>
            <w:tcW w:type="dxa" w:w="337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Taxminiy NPV, mln soʻm</w:t>
            </w:r>
          </w:p>
        </w:tc>
        <w:tc>
          <w:tcPr>
            <w:tcW w:type="dxa" w:w="429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Izoh</w:t>
            </w:r>
          </w:p>
        </w:tc>
      </w:tr>
      <w:tr>
        <w:trPr>
          <w:cantSplit/>
          <w:tblHeader w:val="false"/>
        </w:trPr>
        <w:tc>
          <w:tcPr>
            <w:tcW w:type="dxa" w:w="168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Optimistik</w:t>
            </w:r>
          </w:p>
        </w:tc>
        <w:tc>
          <w:tcPr>
            <w:tcW w:type="dxa" w:w="33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2100</w:t>
            </w:r>
          </w:p>
        </w:tc>
        <w:tc>
          <w:tcPr>
            <w:tcW w:type="dxa" w:w="429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Eksport hajmi oshadi</w:t>
            </w:r>
          </w:p>
        </w:tc>
      </w:tr>
      <w:tr>
        <w:trPr>
          <w:cantSplit/>
          <w:tblHeader w:val="false"/>
        </w:trPr>
        <w:tc>
          <w:tcPr>
            <w:tcW w:type="dxa" w:w="168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Bazaviy</w:t>
            </w:r>
          </w:p>
        </w:tc>
        <w:tc>
          <w:tcPr>
            <w:tcW w:type="dxa" w:w="33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1200</w:t>
            </w:r>
          </w:p>
        </w:tc>
        <w:tc>
          <w:tcPr>
            <w:tcW w:type="dxa" w:w="429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Mavjud buyurtmalar saqlanadi</w:t>
            </w:r>
          </w:p>
        </w:tc>
      </w:tr>
      <w:tr>
        <w:trPr>
          <w:cantSplit/>
          <w:tblHeader w:val="false"/>
        </w:trPr>
        <w:tc>
          <w:tcPr>
            <w:tcW w:type="dxa" w:w="168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Pessimistik</w:t>
            </w:r>
          </w:p>
        </w:tc>
        <w:tc>
          <w:tcPr>
            <w:tcW w:type="dxa" w:w="33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-300</w:t>
            </w:r>
          </w:p>
        </w:tc>
        <w:tc>
          <w:tcPr>
            <w:tcW w:type="dxa" w:w="429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Xomashyo qimmatlashadi</w:t>
            </w:r>
          </w:p>
        </w:tc>
      </w:tr>
    </w:tbl>
    <w:p>
      <w:pPr>
        <w:keepNext/>
        <w:spacing w:after="20" w:before="80" w:line="360" w:lineRule="auto"/>
        <w:jc w:val="left"/>
      </w:pPr>
      <w:r>
        <w:rPr>
          <w:rFonts w:ascii="Times New Roman" w:cs="Times New Roman" w:eastAsia="Times New Roman" w:hAnsi="Times New Roman"/>
          <w:b/>
          <w:bCs/>
          <w:sz w:val="28"/>
          <w:szCs w:val="28"/>
          <w:lang w:val="uz-Latn-UZ"/>
        </w:rPr>
        <w:t xml:space="preserve">Muammoli savollar:</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Berilgan stsenariylar boʻyicha loyihaning kutilayotgan NPV sini hisoblang. (3 ball)</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Qaysi stsenariy loyiha uchun eng yuqori xavfni ifodalaydi va nima uchun? (2 ball)</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Agar pessimistik stsenariyning ehtimoli oshsa, qaror qanday tomonga oʻzgarishi mumkin, qisqacha sharhlang. (1 ball)</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Stsenariy usulining risk tahlilidagi ustunligini koʻrsating. (1 ball)</w:t>
      </w:r>
    </w:p>
    <w:p>
      <w:pPr>
        <w:keepNext/>
        <w:spacing w:after="20" w:before="80" w:line="360" w:lineRule="auto"/>
        <w:jc w:val="left"/>
      </w:pPr>
      <w:r>
        <w:rPr>
          <w:rFonts w:ascii="Times New Roman" w:cs="Times New Roman" w:eastAsia="Times New Roman" w:hAnsi="Times New Roman"/>
          <w:b/>
          <w:bCs/>
          <w:sz w:val="28"/>
          <w:szCs w:val="28"/>
          <w:lang w:val="uz-Latn-UZ"/>
        </w:rPr>
        <w:t xml:space="preserve">Manba:</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Jonathan Berk, Peter DeMarzo. Corporate Finance. – Pearson, 2023.</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Richard A. Brealey, Stewart C. Myers, Franklin Allen. Principles of Corporate Finance. – McGraw-Hill Education, 2020.</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Aswath Damodaran. Investment Valuation. – John Wiley &amp; Sons, 2012.</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tahlili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Har bir stsenariy natijasini ehtimol bilan koʻpaytirib yigʻing; salbiy stsenariylarning ulushi oshsa, kutilayotgan qiymat pasayadi.</w:t>
      </w:r>
    </w:p>
    <w:p>
      <w:pPr>
        <w:keepNext/>
        <w:spacing w:after="20" w:before="80" w:line="360" w:lineRule="auto"/>
        <w:jc w:val="left"/>
      </w:pPr>
      <w:r>
        <w:rPr>
          <w:rFonts w:ascii="Times New Roman" w:cs="Times New Roman" w:eastAsia="Times New Roman" w:hAnsi="Times New Roman"/>
          <w:b/>
          <w:bCs/>
          <w:sz w:val="28"/>
          <w:szCs w:val="28"/>
          <w:lang w:val="uz-Latn-UZ"/>
        </w:rPr>
        <w:t xml:space="preserve">Talabalarga metodik koʻrsatma:</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 bir stsenariyga tegishli ehtimolni tekshiring.</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Kutilayotgan qiymat formulasidan foydalaning.</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Riskni faqat yoʻqotish emas, natijalar tarqalishi sifatida ham talqin qiling.</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yozganda boshqaruv qaroriga mos til ishlating.</w:t>
      </w:r>
    </w:p>
    <w:p>
      <w:pPr>
        <w:keepNext/>
        <w:spacing w:after="20" w:before="80" w:line="360" w:lineRule="auto"/>
        <w:jc w:val="left"/>
      </w:pPr>
      <w:r>
        <w:rPr>
          <w:rFonts w:ascii="Times New Roman" w:cs="Times New Roman" w:eastAsia="Times New Roman" w:hAnsi="Times New Roman"/>
          <w:b/>
          <w:bCs/>
          <w:sz w:val="28"/>
          <w:szCs w:val="28"/>
          <w:lang w:val="uz-Latn-UZ"/>
        </w:rPr>
        <w:t xml:space="preserve">Keysni yechish jarayoni:</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1-qadam: Stsenariylar uchun ehtimollar berilgan boʻlsa, ularni tekshiring; bu keysda ehtimollar alohida berilmagan, shuning uchun oʻqituvchi bilan aniqlashtiring yoki teng ehtimol farazidan foydalaning.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2-qadam: Kutilayotgan NPV ni E(NPV)=Σpᵢ×NPVᵢ formula orqali hisoblang.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3-qadam: Manfiy stsenariyning taʼsirini baholang.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4-qadam: Natijani qaror qabul qilish mezoni sifatida sharhlang.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5-qadam: Riskni kamaytirish uchun xomashyo taʼminoti, savdo kontraktlari va zahira reja zarurligini koʻrsating.</w:t>
      </w:r>
    </w:p>
    <w:p>
      <w:pPr>
        <w:keepNext/>
        <w:spacing w:after="20" w:before="80" w:line="360" w:lineRule="auto"/>
        <w:jc w:val="left"/>
      </w:pPr>
      <w:r>
        <w:rPr>
          <w:rFonts w:ascii="Times New Roman" w:cs="Times New Roman" w:eastAsia="Times New Roman" w:hAnsi="Times New Roman"/>
          <w:b/>
          <w:bCs/>
          <w:sz w:val="28"/>
          <w:szCs w:val="28"/>
          <w:lang w:val="uz-Latn-UZ"/>
        </w:rPr>
        <w:t xml:space="preserve">Oʻqituvchining yechimi: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Agar stsenariylar teng ehtimolli deb olinsa, kutilayotgan NPV (2100 + 1200 - 300) / 3 = 1000 mln soʻmga teng boʻladi. Agar ehtimollar boshqacha berilgan boʻlsa, formula boʻyicha alohida hisoblanadi. Eng yuqori xavf pessimistik stsenariyga tegishli, chunki aynan shu holatda loyiha manfiy NPV beradi va kapital yoʻqotish ehtimoli yuzaga keladi. Pessimistik ehtimol oshsa, kutilayotgan qiymat pasayadi va loyiha maʼqullanishi boʻyicha ehtiyotkorlik kuchayadi. Stsenariy usulining ustunligi shundaki, u bitta oʻrtacha raqam bilan cheklanmay, turli bozor sharoitlarida qaror barqarorligini koʻrsatadi.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3-keys. Texnologik jihozlarni xarid qilishda qaytarilish davrini aniqlash</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bayoni.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Buxoro shahridagi «Buxoro AgroMash» MChJ 2025 yil 7 martda yangi don quritish uskunasini xarid qilish masalasini koʻtardi. Loyiha menejeri Sanjar Ismoilov taklif etilgan uskunaning bahosi 960 mln soʻm ekanini, joriy foydalanishdan olinadigan pul oqimlari esa yilma-yil oshib borishini maʼlum qildi. Moliyaviy xizmat besh yil uchun quyidagi sof tushumlarni tayyorladi: 1-yil 240 mln soʻm, 2-yil 260 mln soʻm, 3-yil 300 mln soʻm, 4-yil 340 mln soʻm, 5-yil 380 mln soʻm. Direksiya qoplanish muddati 4 yildan oshmaydigan loyihalargina koʻrib chiqilishini bildirdi. Bosh hisobchi loyiha pul oqimlari davriy ravishda kelishini va toʻliq investitsiya qoplanishiga nechanchi yilning qaysi qismida erishilishini aniqlash kerakligini aytdi. Sizdan investitsiyaning qoplanish muddatini hisoblash va uning boshqaruv qaroridagi oʻrnini baholash soʻraladi.</w:t>
      </w:r>
    </w:p>
    <w:p>
      <w:pPr>
        <w:keepNext/>
        <w:spacing w:after="20" w:before="80" w:line="360" w:lineRule="auto"/>
        <w:jc w:val="left"/>
      </w:pPr>
      <w:r>
        <w:rPr>
          <w:rFonts w:ascii="Times New Roman" w:cs="Times New Roman" w:eastAsia="Times New Roman" w:hAnsi="Times New Roman"/>
          <w:b/>
          <w:bCs/>
          <w:sz w:val="28"/>
          <w:szCs w:val="28"/>
          <w:lang w:val="uz-Latn-UZ"/>
        </w:rPr>
        <w:t xml:space="preserve">3-jadval. Investitsiya va yillik sof pul oqimlari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733"/>
        <w:gridCol w:w="4218"/>
        <w:gridCol w:w="4403"/>
      </w:tblGrid>
      <w:tr>
        <w:trPr>
          <w:cantSplit/>
          <w:tblHeader/>
        </w:trPr>
        <w:tc>
          <w:tcPr>
            <w:tcW w:type="dxa" w:w="73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Yil</w:t>
            </w:r>
          </w:p>
        </w:tc>
        <w:tc>
          <w:tcPr>
            <w:tcW w:type="dxa" w:w="421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Sof pul oqimi, mln soʻm</w:t>
            </w:r>
          </w:p>
        </w:tc>
        <w:tc>
          <w:tcPr>
            <w:tcW w:type="dxa" w:w="440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Yigʻilgan oqim, mln soʻm</w:t>
            </w:r>
          </w:p>
        </w:tc>
      </w:tr>
      <w:tr>
        <w:trPr>
          <w:cantSplit/>
          <w:tblHeader w:val="false"/>
        </w:trPr>
        <w:tc>
          <w:tcPr>
            <w:tcW w:type="dxa" w:w="73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0</w:t>
            </w:r>
          </w:p>
        </w:tc>
        <w:tc>
          <w:tcPr>
            <w:tcW w:type="dxa" w:w="421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-960</w:t>
            </w:r>
          </w:p>
        </w:tc>
        <w:tc>
          <w:tcPr>
            <w:tcW w:type="dxa" w:w="440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-960</w:t>
            </w:r>
          </w:p>
        </w:tc>
      </w:tr>
      <w:tr>
        <w:trPr>
          <w:cantSplit/>
          <w:tblHeader w:val="false"/>
        </w:trPr>
        <w:tc>
          <w:tcPr>
            <w:tcW w:type="dxa" w:w="73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w:t>
            </w:r>
          </w:p>
        </w:tc>
        <w:tc>
          <w:tcPr>
            <w:tcW w:type="dxa" w:w="421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240</w:t>
            </w:r>
          </w:p>
        </w:tc>
        <w:tc>
          <w:tcPr>
            <w:tcW w:type="dxa" w:w="440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-720</w:t>
            </w:r>
          </w:p>
        </w:tc>
      </w:tr>
      <w:tr>
        <w:trPr>
          <w:cantSplit/>
          <w:tblHeader w:val="false"/>
        </w:trPr>
        <w:tc>
          <w:tcPr>
            <w:tcW w:type="dxa" w:w="73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2</w:t>
            </w:r>
          </w:p>
        </w:tc>
        <w:tc>
          <w:tcPr>
            <w:tcW w:type="dxa" w:w="421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260</w:t>
            </w:r>
          </w:p>
        </w:tc>
        <w:tc>
          <w:tcPr>
            <w:tcW w:type="dxa" w:w="440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-460</w:t>
            </w:r>
          </w:p>
        </w:tc>
      </w:tr>
      <w:tr>
        <w:trPr>
          <w:cantSplit/>
          <w:tblHeader w:val="false"/>
        </w:trPr>
        <w:tc>
          <w:tcPr>
            <w:tcW w:type="dxa" w:w="73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3</w:t>
            </w:r>
          </w:p>
        </w:tc>
        <w:tc>
          <w:tcPr>
            <w:tcW w:type="dxa" w:w="421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300</w:t>
            </w:r>
          </w:p>
        </w:tc>
        <w:tc>
          <w:tcPr>
            <w:tcW w:type="dxa" w:w="440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-160</w:t>
            </w:r>
          </w:p>
        </w:tc>
      </w:tr>
      <w:tr>
        <w:trPr>
          <w:cantSplit/>
          <w:tblHeader w:val="false"/>
        </w:trPr>
        <w:tc>
          <w:tcPr>
            <w:tcW w:type="dxa" w:w="73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4</w:t>
            </w:r>
          </w:p>
        </w:tc>
        <w:tc>
          <w:tcPr>
            <w:tcW w:type="dxa" w:w="421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340</w:t>
            </w:r>
          </w:p>
        </w:tc>
        <w:tc>
          <w:tcPr>
            <w:tcW w:type="dxa" w:w="440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180</w:t>
            </w:r>
          </w:p>
        </w:tc>
      </w:tr>
      <w:tr>
        <w:trPr>
          <w:cantSplit/>
          <w:tblHeader w:val="false"/>
        </w:trPr>
        <w:tc>
          <w:tcPr>
            <w:tcW w:type="dxa" w:w="73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5</w:t>
            </w:r>
          </w:p>
        </w:tc>
        <w:tc>
          <w:tcPr>
            <w:tcW w:type="dxa" w:w="421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380</w:t>
            </w:r>
          </w:p>
        </w:tc>
        <w:tc>
          <w:tcPr>
            <w:tcW w:type="dxa" w:w="440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560</w:t>
            </w:r>
          </w:p>
        </w:tc>
      </w:tr>
    </w:tbl>
    <w:p>
      <w:pPr>
        <w:keepNext/>
        <w:spacing w:after="20" w:before="80" w:line="360" w:lineRule="auto"/>
        <w:jc w:val="left"/>
      </w:pPr>
      <w:r>
        <w:rPr>
          <w:rFonts w:ascii="Times New Roman" w:cs="Times New Roman" w:eastAsia="Times New Roman" w:hAnsi="Times New Roman"/>
          <w:b/>
          <w:bCs/>
          <w:sz w:val="28"/>
          <w:szCs w:val="28"/>
          <w:lang w:val="uz-Latn-UZ"/>
        </w:rPr>
        <w:t xml:space="preserve">Muammoli savollar:</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Boshlangʻich investitsiyaning qoplanish muddatini yillar kesimida hisoblang. (3 ball)</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Loyiha 4 yillik mezonga mos keladimi? Qaroringizni yozing. (2 ball)</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Qoplanish muddati usulining asosiy cheklovi nimada? (1 ball)</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4-yildagi pul oqimi kamayib qolsa, qoplanish muddati qanday oʻzgaradi? (1 ball)</w:t>
      </w:r>
    </w:p>
    <w:p>
      <w:pPr>
        <w:keepNext/>
        <w:spacing w:after="20" w:before="80" w:line="360" w:lineRule="auto"/>
        <w:jc w:val="left"/>
      </w:pPr>
      <w:r>
        <w:rPr>
          <w:rFonts w:ascii="Times New Roman" w:cs="Times New Roman" w:eastAsia="Times New Roman" w:hAnsi="Times New Roman"/>
          <w:b/>
          <w:bCs/>
          <w:sz w:val="28"/>
          <w:szCs w:val="28"/>
          <w:lang w:val="uz-Latn-UZ"/>
        </w:rPr>
        <w:t xml:space="preserve">Manba:</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Stephen A. Ross, Randolph W. Westerfield, Jeffrey Jaffe. Corporate Finance. – McGraw-Hill Education, 2022.</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Richard A. Brealey, Stewart C. Myers, Franklin Allen. Principles of Corporate Finance. – McGraw-Hill Education, 2020.</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Richard A. Brealey, Stewart C. Myers, Alan J. Marcus. Fundamentals of Corporate Finance. – McGraw-Hill Education, 2019.</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tahlili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Yigʻilgan pul oqimlari boshlangʻich investitsiyani qaysi yil va qanchalik qoplashini aniqlang; toʻliq qoplanmagan qismni keyingi yil oqimi boʻyicha ulushga aylantiring.</w:t>
      </w:r>
    </w:p>
    <w:p>
      <w:pPr>
        <w:keepNext/>
        <w:spacing w:after="20" w:before="80" w:line="360" w:lineRule="auto"/>
        <w:jc w:val="left"/>
      </w:pPr>
      <w:r>
        <w:rPr>
          <w:rFonts w:ascii="Times New Roman" w:cs="Times New Roman" w:eastAsia="Times New Roman" w:hAnsi="Times New Roman"/>
          <w:b/>
          <w:bCs/>
          <w:sz w:val="28"/>
          <w:szCs w:val="28"/>
          <w:lang w:val="uz-Latn-UZ"/>
        </w:rPr>
        <w:t xml:space="preserve">Talabalarga metodik koʻrsatma:</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 yil oxiridagi kumulyativ oqimni hisoblang.</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Investitsiya qaysi yil oraligʻida qoplanishini toping.</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Qoplanmagan qoldiqni keyingi yil pul oqimiga boʻling.</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Natijani yillar va kasr qismida yozing.</w:t>
      </w:r>
    </w:p>
    <w:p>
      <w:pPr>
        <w:keepNext/>
        <w:spacing w:after="20" w:before="80" w:line="360" w:lineRule="auto"/>
        <w:jc w:val="left"/>
      </w:pPr>
      <w:r>
        <w:rPr>
          <w:rFonts w:ascii="Times New Roman" w:cs="Times New Roman" w:eastAsia="Times New Roman" w:hAnsi="Times New Roman"/>
          <w:b/>
          <w:bCs/>
          <w:sz w:val="28"/>
          <w:szCs w:val="28"/>
          <w:lang w:val="uz-Latn-UZ"/>
        </w:rPr>
        <w:t xml:space="preserve">Keysni yechish jarayoni:</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1-qadam: Yillik sof pul oqimlarini ketma-ket jamlang.</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2-qadam: Qaysi yilda kumulyativ oqim 960 mln soʻmga teng yoki undan oshishini aniqlang.</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3-qadam: Toʻliq qoplanmagan qoldiqni toping.</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4-qadam: Qoldiqni qoplanish sodir boʻlgan yil pul oqimiga boʻlib kasr yilni hisoblang.</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5-qadam: Yakuniy natijani boshqaruv mezoni bilan solishtiring.</w:t>
      </w:r>
    </w:p>
    <w:p>
      <w:pPr>
        <w:keepNext/>
        <w:spacing w:after="20" w:before="80" w:line="360" w:lineRule="auto"/>
        <w:jc w:val="left"/>
      </w:pPr>
      <w:r>
        <w:rPr>
          <w:rFonts w:ascii="Times New Roman" w:cs="Times New Roman" w:eastAsia="Times New Roman" w:hAnsi="Times New Roman"/>
          <w:b/>
          <w:bCs/>
          <w:sz w:val="28"/>
          <w:szCs w:val="28"/>
          <w:lang w:val="uz-Latn-UZ"/>
        </w:rPr>
        <w:t xml:space="preserve">Oʻqituvchining yechimi: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Kumulyativ oqimlar 1-yilda -720, 2-yilda -460, 3-yilda -160, 4-yilda 180 mln soʻmni tashkil etadi. Demak, loyiha 4-yilda qoplanadi. 3-yil oxirida qoplanmagan qoldiq 160 mln soʻm boʻladi. 4-yil pul oqimi 340 mln soʻm boʻlgani uchun qoplanish ulushi 160/340 = 0,47 ga teng. Shunday qilib, qoplanish muddati taxminan 3,47 yil. Bu loyiha 4 yillik mezonga mos keladi. Biroq qoplanish muddati usuli pul oqimlarining keyingi davrlardagi qiymatini toʻliq hisobga olmaydi.</w:t>
      </w:r>
    </w:p>
    <w:p>
      <w:pPr>
        <w:keepNext/>
        <w:spacing w:after="100" w:before="240" w:line="360" w:lineRule="auto"/>
        <w:jc w:val="left"/>
      </w:pPr>
      <w:r>
        <w:rPr>
          <w:rFonts w:ascii="Times New Roman" w:cs="Times New Roman" w:eastAsia="Times New Roman" w:hAnsi="Times New Roman"/>
          <w:b/>
          <w:bCs/>
          <w:sz w:val="28"/>
          <w:szCs w:val="28"/>
          <w:lang w:val="uz-Latn-UZ"/>
        </w:rPr>
        <w:t xml:space="preserve">4-keys. Hududiy loyiha uchun xorijiy sarmoyani jalb etish boʻyicha muzokara maydoni</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bayoni.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Samarqand viloyatida joylashgan «Samarkand Ceramic Cluster» MChJ 2025 yil 21 yanvarda Turkiyaning «Anadolu Industrial Holding» kompaniyasi bilan qoʻshma loyiha boʻyicha muzokara oʻtkazdi. Korxona direktori Dilshod Rahmatov investorni jalb qilish uchun ishlab chiqarish maydoni tayyor, eksport yoʻnalishlari mavjud va mahalliy xomashyo bazasi yetarli ekanini taʼkidladi. Shu bilan birga, xorijiy tomon mulk huquqlarining himoyasi, dividendlarni erkin repatriatsiya qilish, soliq va bojxona tartibotlarining oldindan aniqligi, valyuta operatsiyalaridagi soddalik va nizolarni hal etish mexanizmlari haqida batafsil maʼlumot soʻradi. Viloyat investitsiya boʻlimi vakili loyihani qoʻllab-quvvatlash uchun yer ajratish tartibi, infratuzilma ulanishi va mahalliy hamkorning majburiyatlari yuzasidan yozma kelishuv tayyorlanishini bildirdi. Sizdan xorijiy investitsiyani jalb etish uchun zarur shartlarni tizimlashtirish va investor nuqtai nazaridan eng muhim omillarni ajratish soʻraladi.</w:t>
      </w:r>
    </w:p>
    <w:p>
      <w:pPr>
        <w:keepNext/>
        <w:spacing w:after="20" w:before="80" w:line="360" w:lineRule="auto"/>
        <w:jc w:val="left"/>
      </w:pPr>
      <w:r>
        <w:rPr>
          <w:rFonts w:ascii="Times New Roman" w:cs="Times New Roman" w:eastAsia="Times New Roman" w:hAnsi="Times New Roman"/>
          <w:b/>
          <w:bCs/>
          <w:sz w:val="28"/>
          <w:szCs w:val="28"/>
          <w:lang w:val="uz-Latn-UZ"/>
        </w:rPr>
        <w:t xml:space="preserve">4-jadval. Muzokarada koʻtarilgan asosiy shartlar</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2503"/>
        <w:gridCol w:w="3425"/>
        <w:gridCol w:w="3426"/>
      </w:tblGrid>
      <w:tr>
        <w:trPr>
          <w:cantSplit/>
          <w:tblHeader/>
        </w:trPr>
        <w:tc>
          <w:tcPr>
            <w:tcW w:type="dxa" w:w="250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Yoʻnalish</w:t>
            </w:r>
          </w:p>
        </w:tc>
        <w:tc>
          <w:tcPr>
            <w:tcW w:type="dxa" w:w="342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Talab</w:t>
            </w:r>
          </w:p>
        </w:tc>
        <w:tc>
          <w:tcPr>
            <w:tcW w:type="dxa" w:w="3426"/>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Izoh</w:t>
            </w:r>
          </w:p>
        </w:tc>
      </w:tr>
      <w:tr>
        <w:trPr>
          <w:cantSplit/>
          <w:tblHeader w:val="false"/>
        </w:trPr>
        <w:tc>
          <w:tcPr>
            <w:tcW w:type="dxa" w:w="250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Huquqiy himoya</w:t>
            </w:r>
          </w:p>
        </w:tc>
        <w:tc>
          <w:tcPr>
            <w:tcW w:type="dxa" w:w="34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Aniq shartnoma</w:t>
            </w:r>
          </w:p>
        </w:tc>
        <w:tc>
          <w:tcPr>
            <w:tcW w:type="dxa" w:w="342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Mulk va foyda huquqi</w:t>
            </w:r>
          </w:p>
        </w:tc>
      </w:tr>
      <w:tr>
        <w:trPr>
          <w:cantSplit/>
          <w:tblHeader w:val="false"/>
        </w:trPr>
        <w:tc>
          <w:tcPr>
            <w:tcW w:type="dxa" w:w="250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Moliyaviy erkinlik</w:t>
            </w:r>
          </w:p>
        </w:tc>
        <w:tc>
          <w:tcPr>
            <w:tcW w:type="dxa" w:w="34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Dividend repatriatsiyasi</w:t>
            </w:r>
          </w:p>
        </w:tc>
        <w:tc>
          <w:tcPr>
            <w:tcW w:type="dxa" w:w="342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Valyuta xavfi kamayadi</w:t>
            </w:r>
          </w:p>
        </w:tc>
      </w:tr>
      <w:tr>
        <w:trPr>
          <w:cantSplit/>
          <w:tblHeader w:val="false"/>
        </w:trPr>
        <w:tc>
          <w:tcPr>
            <w:tcW w:type="dxa" w:w="250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Infratuzilma</w:t>
            </w:r>
          </w:p>
        </w:tc>
        <w:tc>
          <w:tcPr>
            <w:tcW w:type="dxa" w:w="34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Yer va tarmoqlarga ulanish</w:t>
            </w:r>
          </w:p>
        </w:tc>
        <w:tc>
          <w:tcPr>
            <w:tcW w:type="dxa" w:w="342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Ishga tushirish tezlashadi</w:t>
            </w:r>
          </w:p>
        </w:tc>
      </w:tr>
      <w:tr>
        <w:trPr>
          <w:cantSplit/>
          <w:tblHeader w:val="false"/>
        </w:trPr>
        <w:tc>
          <w:tcPr>
            <w:tcW w:type="dxa" w:w="250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Nizolarni hal etish</w:t>
            </w:r>
          </w:p>
        </w:tc>
        <w:tc>
          <w:tcPr>
            <w:tcW w:type="dxa" w:w="34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Arbitraj tartibi</w:t>
            </w:r>
          </w:p>
        </w:tc>
        <w:tc>
          <w:tcPr>
            <w:tcW w:type="dxa" w:w="342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Risk pasayadi</w:t>
            </w:r>
          </w:p>
        </w:tc>
      </w:tr>
    </w:tbl>
    <w:p>
      <w:pPr>
        <w:keepNext/>
        <w:spacing w:after="20" w:before="80" w:line="360" w:lineRule="auto"/>
        <w:jc w:val="left"/>
      </w:pPr>
      <w:r>
        <w:rPr>
          <w:rFonts w:ascii="Times New Roman" w:cs="Times New Roman" w:eastAsia="Times New Roman" w:hAnsi="Times New Roman"/>
          <w:b/>
          <w:bCs/>
          <w:sz w:val="28"/>
          <w:szCs w:val="28"/>
          <w:lang w:val="uz-Latn-UZ"/>
        </w:rPr>
        <w:t xml:space="preserve">Muammoli savollar:</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Xorijiy investor uchun mazkur loyiha boʻyicha eng muhim uchta shartni sanab oʻting. (3 ball)</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Mulk huquqi va dividendlarni repatriatsiya qilish kafolatlari nima uchun muhim? (2 ball)</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Mahalliy hamkor va davlat organlari qanday rol oʻynaydi? (1 ball)</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Investor ishonchini oshirish uchun yana qanday tashkiliy choralar tavsiya etiladi? (1 ball)</w:t>
      </w:r>
    </w:p>
    <w:p>
      <w:pPr>
        <w:keepNext/>
        <w:spacing w:after="20" w:before="80" w:line="360" w:lineRule="auto"/>
        <w:jc w:val="left"/>
      </w:pPr>
      <w:r>
        <w:rPr>
          <w:rFonts w:ascii="Times New Roman" w:cs="Times New Roman" w:eastAsia="Times New Roman" w:hAnsi="Times New Roman"/>
          <w:b/>
          <w:bCs/>
          <w:sz w:val="28"/>
          <w:szCs w:val="28"/>
          <w:lang w:val="uz-Latn-UZ"/>
        </w:rPr>
        <w:t xml:space="preserve">Manba:</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OECD. OECD Investment Policy Reviews: Uzbekistan 2022. – OECD Publishing, 2022.</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UNCTAD. World Investment Report 2024. – United Nations, 2024.</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World Bank. The World Bank Group. Doing Business 2020. – World Bank, 2020.</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tahlili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Investor qarorida huquqiy aniqlik, kapital harakati erkinligi, infratuzilma va nizolarni hal etish tartibi birgalikda baholanadi.</w:t>
      </w:r>
    </w:p>
    <w:p>
      <w:pPr>
        <w:keepNext/>
        <w:spacing w:after="20" w:before="80" w:line="360" w:lineRule="auto"/>
        <w:jc w:val="left"/>
      </w:pPr>
      <w:r>
        <w:rPr>
          <w:rFonts w:ascii="Times New Roman" w:cs="Times New Roman" w:eastAsia="Times New Roman" w:hAnsi="Times New Roman"/>
          <w:b/>
          <w:bCs/>
          <w:sz w:val="28"/>
          <w:szCs w:val="28"/>
          <w:lang w:val="uz-Latn-UZ"/>
        </w:rPr>
        <w:t xml:space="preserve">Talabalarga metodik koʻrsatma:</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Investor koʻzidan qarang.</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 bir shartning riskni kamaytirishdagi rolini ajrating.</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Davlat va xususiy tomon majburiyatlarini farqlang.</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qisqa, ammo asosli boʻlsin.</w:t>
      </w:r>
    </w:p>
    <w:p>
      <w:pPr>
        <w:keepNext/>
        <w:spacing w:after="20" w:before="80" w:line="360" w:lineRule="auto"/>
        <w:jc w:val="left"/>
      </w:pPr>
      <w:r>
        <w:rPr>
          <w:rFonts w:ascii="Times New Roman" w:cs="Times New Roman" w:eastAsia="Times New Roman" w:hAnsi="Times New Roman"/>
          <w:b/>
          <w:bCs/>
          <w:sz w:val="28"/>
          <w:szCs w:val="28"/>
          <w:lang w:val="uz-Latn-UZ"/>
        </w:rPr>
        <w:t xml:space="preserve">Keysni yechish jarayoni:</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1-qadam: Investor uchun majburiy huquqiy va iqtisodiy shartlarni roʻyxatlang.</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2-qadam: Har bir shartning investitsiya xavfiga taʼsirini tushuntiring.</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3-qadam: Loyihaning jozibadorligini oshiruvchi omillarni alohida koʻrsating.</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4-qadam: Yetishmayotgan kafolatlar investor qaroriga qanday taʼsir qilishini baholang.</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5-qadam: Amaliy tavsiyalarni shakllantiring.</w:t>
      </w:r>
    </w:p>
    <w:p>
      <w:pPr>
        <w:keepNext/>
        <w:spacing w:after="20" w:before="80" w:line="360" w:lineRule="auto"/>
        <w:jc w:val="left"/>
      </w:pPr>
      <w:r>
        <w:rPr>
          <w:rFonts w:ascii="Times New Roman" w:cs="Times New Roman" w:eastAsia="Times New Roman" w:hAnsi="Times New Roman"/>
          <w:b/>
          <w:bCs/>
          <w:sz w:val="28"/>
          <w:szCs w:val="28"/>
          <w:lang w:val="uz-Latn-UZ"/>
        </w:rPr>
        <w:t xml:space="preserve">Oʻqituvchining yechimi: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Xorijiy investor uchun eng muhim shartlar: mulk huquqining kafolatlanishi, dividendlarni erkin repatriatsiya qilish imkoniyati va soliq hamda bojxona tartibining oldindan aniqligi. Bu omillar kapitalning qaytishi, daromadni oʻtkazish va operatsion xarajatlarning bashorat qilinishi uchun zarur. Mahalliy hamkor loyiha maydonini, bozorni va amaliy aloqalarni taʼminlaydi, davlat organlari esa yer ajratish, infratuzilma ulanishi va ruxsatnomalar jarayonini muvofiqlashtiradi. Investor ishonchini oshirish uchun yozma investitsiya kelishuvi, arbitraj bandi, valyuta operatsiyalari tartibi va loyihaning aniq jadvali tayyorlanishi tavsiya etiladi.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5-keys. Portfelni uch qismga boʻlib xavfni kamaytirish boʻyicha qaror</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bayoni.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Toshkent shahridagi «Samarkand Capital» investitsiya boʻlimi 2026-yil yanvar oyida mijozlar portfelini qayta koʻrib chiqdi. Boʻlim rahbari Dilshod Karimov oldida 12 oylik ufqda daromadni barqaror ushlab, keskin tebranishni pasaytirish vazifasi turardi. Mijozning bozor qiymati 500 million soʻm boʻlgan mablagʻi uch yoʻnalishga ajratilishi koʻzda tutildi: davlat obligatsiyalari, yirik sanoat aksiyalari va bank depoziti. Tahlilchilar har bir instrumentning kutilayotgan daromadliligi, risk darajasi va bir-biri bilan bogʻliqligini ichki baholash jadvalida koʻrsatdilar. Bank depoziti eng past daromad, lekin eng barqaror natija berishi; aksiyalar esa yuqori daromad bilan birga katta tebranish olib kelishi qayd etildi. Mijozning talabi shunday edi: «Daromad juda pasayib ketmasin, lekin birgina instrumentga qaram boʻlib qolmaylik». Shu vaziyatda investitsiya boʻlimi diversifikatsiya tamoyiliga tayangan holda optimal ulushlarni asoslash, bir xil yoʻnalishdagi aktivlar oʻrtasidagi korrelyatsiya taʼsirini tushuntirish va tavsiya berish kerak edi.</w:t>
      </w:r>
    </w:p>
    <w:p>
      <w:pPr>
        <w:keepNext/>
        <w:spacing w:after="20" w:before="80" w:line="360" w:lineRule="auto"/>
        <w:jc w:val="left"/>
      </w:pPr>
      <w:r>
        <w:rPr>
          <w:rFonts w:ascii="Times New Roman" w:cs="Times New Roman" w:eastAsia="Times New Roman" w:hAnsi="Times New Roman"/>
          <w:b/>
          <w:bCs/>
          <w:sz w:val="28"/>
          <w:szCs w:val="28"/>
          <w:lang w:val="uz-Latn-UZ"/>
        </w:rPr>
        <w:t xml:space="preserve">5-jadval. Investitsiya boʻlimi tayyorlagan ichki baholash maʼlumotlari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2638"/>
        <w:gridCol w:w="3837"/>
        <w:gridCol w:w="1798"/>
        <w:gridCol w:w="1081"/>
      </w:tblGrid>
      <w:tr>
        <w:trPr>
          <w:cantSplit/>
          <w:tblHeader/>
        </w:trPr>
        <w:tc>
          <w:tcPr>
            <w:tcW w:type="dxa" w:w="263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Instrument</w:t>
            </w:r>
          </w:p>
        </w:tc>
        <w:tc>
          <w:tcPr>
            <w:tcW w:type="dxa" w:w="383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Kutilayotgan yillik daromadlilik</w:t>
            </w:r>
          </w:p>
        </w:tc>
        <w:tc>
          <w:tcPr>
            <w:tcW w:type="dxa" w:w="179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Baholangan risk</w:t>
            </w:r>
          </w:p>
        </w:tc>
        <w:tc>
          <w:tcPr>
            <w:tcW w:type="dxa" w:w="108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Likvidlik</w:t>
            </w:r>
          </w:p>
        </w:tc>
      </w:tr>
      <w:tr>
        <w:trPr>
          <w:cantSplit/>
          <w:tblHeader w:val="false"/>
        </w:trPr>
        <w:tc>
          <w:tcPr>
            <w:tcW w:type="dxa" w:w="26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Davlat obligatsiyalari</w:t>
            </w:r>
          </w:p>
        </w:tc>
        <w:tc>
          <w:tcPr>
            <w:tcW w:type="dxa" w:w="383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13%</w:t>
            </w:r>
          </w:p>
        </w:tc>
        <w:tc>
          <w:tcPr>
            <w:tcW w:type="dxa" w:w="179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Past</w:t>
            </w:r>
          </w:p>
        </w:tc>
        <w:tc>
          <w:tcPr>
            <w:tcW w:type="dxa" w:w="108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Oʻrtacha</w:t>
            </w:r>
          </w:p>
        </w:tc>
      </w:tr>
      <w:tr>
        <w:trPr>
          <w:cantSplit/>
          <w:tblHeader w:val="false"/>
        </w:trPr>
        <w:tc>
          <w:tcPr>
            <w:tcW w:type="dxa" w:w="26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Sanoat aksiyalari</w:t>
            </w:r>
          </w:p>
        </w:tc>
        <w:tc>
          <w:tcPr>
            <w:tcW w:type="dxa" w:w="383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24%</w:t>
            </w:r>
          </w:p>
        </w:tc>
        <w:tc>
          <w:tcPr>
            <w:tcW w:type="dxa" w:w="179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Yuqori</w:t>
            </w:r>
          </w:p>
        </w:tc>
        <w:tc>
          <w:tcPr>
            <w:tcW w:type="dxa" w:w="108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Yuqori</w:t>
            </w:r>
          </w:p>
        </w:tc>
      </w:tr>
      <w:tr>
        <w:trPr>
          <w:cantSplit/>
          <w:tblHeader w:val="false"/>
        </w:trPr>
        <w:tc>
          <w:tcPr>
            <w:tcW w:type="dxa" w:w="263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Bank depoziti</w:t>
            </w:r>
          </w:p>
        </w:tc>
        <w:tc>
          <w:tcPr>
            <w:tcW w:type="dxa" w:w="383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17%</w:t>
            </w:r>
          </w:p>
        </w:tc>
        <w:tc>
          <w:tcPr>
            <w:tcW w:type="dxa" w:w="179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Juda past</w:t>
            </w:r>
          </w:p>
        </w:tc>
        <w:tc>
          <w:tcPr>
            <w:tcW w:type="dxa" w:w="108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Past</w:t>
            </w:r>
          </w:p>
        </w:tc>
      </w:tr>
    </w:tbl>
    <w:p>
      <w:pPr>
        <w:keepNext/>
        <w:spacing w:after="20" w:before="80" w:line="360" w:lineRule="auto"/>
        <w:jc w:val="left"/>
      </w:pPr>
      <w:r>
        <w:rPr>
          <w:rFonts w:ascii="Times New Roman" w:cs="Times New Roman" w:eastAsia="Times New Roman" w:hAnsi="Times New Roman"/>
          <w:b/>
          <w:bCs/>
          <w:sz w:val="28"/>
          <w:szCs w:val="28"/>
          <w:lang w:val="uz-Latn-UZ"/>
        </w:rPr>
        <w:t xml:space="preserve">Muammoli savollar:</w:t>
      </w:r>
    </w:p>
    <w:p>
      <w:pPr>
        <w:pStyle w:val="ListParagraph"/>
        <w:numPr>
          <w:ilvl w:val="0"/>
          <w:numId w:val="1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Berilgan uch instrument boʻyicha portfelni diversifikatsiyalash qanday maqsadni koʻzlaydi va bu maqsadni risk va daromadlilik nuqtai nazaridan izohlang. (2 ball)</w:t>
      </w:r>
    </w:p>
    <w:p>
      <w:pPr>
        <w:pStyle w:val="ListParagraph"/>
        <w:numPr>
          <w:ilvl w:val="0"/>
          <w:numId w:val="1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Qaysi aktivlar oʻrtasidagi bogʻliqlik portfel xavfini kuchliroq kamaytirishi mumkinligini aniqlang va sababini yozing. (2 ball)</w:t>
      </w:r>
    </w:p>
    <w:p>
      <w:pPr>
        <w:pStyle w:val="ListParagraph"/>
        <w:numPr>
          <w:ilvl w:val="0"/>
          <w:numId w:val="1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500 million soʻmlik mablagʻni uch instrumentga taqsimlash boʻyicha oʻzingiz taklif qiladigan ulushlarni asoslang. (3 ball)</w:t>
      </w:r>
    </w:p>
    <w:p>
      <w:pPr>
        <w:pStyle w:val="ListParagraph"/>
        <w:numPr>
          <w:ilvl w:val="0"/>
          <w:numId w:val="1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Mijoz uchun diversifikatsiya samaradorligini baholashda qaysi qoʻshimcha maʼlumotlar zarur boʻladi? (1 ball)</w:t>
      </w:r>
    </w:p>
    <w:p>
      <w:pPr>
        <w:keepNext/>
        <w:spacing w:after="20" w:before="80" w:line="360" w:lineRule="auto"/>
        <w:jc w:val="left"/>
      </w:pPr>
      <w:r>
        <w:rPr>
          <w:rFonts w:ascii="Times New Roman" w:cs="Times New Roman" w:eastAsia="Times New Roman" w:hAnsi="Times New Roman"/>
          <w:b/>
          <w:bCs/>
          <w:sz w:val="28"/>
          <w:szCs w:val="28"/>
          <w:lang w:val="uz-Latn-UZ"/>
        </w:rPr>
        <w:t xml:space="preserve">Manba:</w:t>
      </w:r>
    </w:p>
    <w:p>
      <w:pPr>
        <w:pStyle w:val="ListParagraph"/>
        <w:numPr>
          <w:ilvl w:val="0"/>
          <w:numId w:val="2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 A. Rayzberg, L. Sh. Lozovskiy, E. B. Starodubtseva. Investitsiyalarni tahlil qilish. – Moskva: Infra-M, 2019.</w:t>
      </w:r>
    </w:p>
    <w:p>
      <w:pPr>
        <w:pStyle w:val="ListParagraph"/>
        <w:numPr>
          <w:ilvl w:val="0"/>
          <w:numId w:val="2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Frank K. Reilly, Keith C. Brown. Investment Analysis and Portfolio Management. – Cengage Learning, 2021.</w:t>
      </w:r>
    </w:p>
    <w:p>
      <w:pPr>
        <w:pStyle w:val="ListParagraph"/>
        <w:numPr>
          <w:ilvl w:val="0"/>
          <w:numId w:val="2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Edwin J. Elton, Martin J. Gruber, Stephen J. Brown, William N. Goetzmann. Modern Portfolio Theory and Investment Analysis. – Wiley, 2022.</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tahlili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Talaba daromadlilik va riskning bir vaqtning oʻzidagi taʼsirini koʻrsatishi, aktivlar oʻrtasidagi korrelyatsiya diversifikatsiya samarasini belgilashini tushunishi kerak.</w:t>
      </w:r>
    </w:p>
    <w:p>
      <w:pPr>
        <w:keepNext/>
        <w:spacing w:after="20" w:before="80" w:line="360" w:lineRule="auto"/>
        <w:jc w:val="left"/>
      </w:pPr>
      <w:r>
        <w:rPr>
          <w:rFonts w:ascii="Times New Roman" w:cs="Times New Roman" w:eastAsia="Times New Roman" w:hAnsi="Times New Roman"/>
          <w:b/>
          <w:bCs/>
          <w:sz w:val="28"/>
          <w:szCs w:val="28"/>
          <w:lang w:val="uz-Latn-UZ"/>
        </w:rPr>
        <w:t xml:space="preserve">Talabalarga metodik koʻrsatma:</w:t>
      </w:r>
    </w:p>
    <w:p>
      <w:pPr>
        <w:pStyle w:val="ListParagraph"/>
        <w:numPr>
          <w:ilvl w:val="0"/>
          <w:numId w:val="2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Jadvaldagi har bir instrumentning risk-daromad nisbatini alohida baholang.</w:t>
      </w:r>
    </w:p>
    <w:p>
      <w:pPr>
        <w:pStyle w:val="ListParagraph"/>
        <w:numPr>
          <w:ilvl w:val="0"/>
          <w:numId w:val="2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Portfel darajasida faqat alohida aktivlar emas, ular orasidagi bogʻliqlikni ham hisobga oling.</w:t>
      </w:r>
    </w:p>
    <w:p>
      <w:pPr>
        <w:pStyle w:val="ListParagraph"/>
        <w:numPr>
          <w:ilvl w:val="0"/>
          <w:numId w:val="2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Diversifikatsiya riskni butunlay yoʻq qilmasligini, faqat tizimli boʻlmagan riskni kamaytirishini yozing.</w:t>
      </w:r>
    </w:p>
    <w:p>
      <w:pPr>
        <w:pStyle w:val="ListParagraph"/>
        <w:numPr>
          <w:ilvl w:val="0"/>
          <w:numId w:val="2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Tavsiya etilgan ulushlar uchun mantiqiy izoh bering.</w:t>
      </w:r>
    </w:p>
    <w:p>
      <w:pPr>
        <w:keepNext/>
        <w:spacing w:after="20" w:before="80" w:line="360" w:lineRule="auto"/>
        <w:jc w:val="left"/>
      </w:pPr>
      <w:r>
        <w:rPr>
          <w:rFonts w:ascii="Times New Roman" w:cs="Times New Roman" w:eastAsia="Times New Roman" w:hAnsi="Times New Roman"/>
          <w:b/>
          <w:bCs/>
          <w:sz w:val="28"/>
          <w:szCs w:val="28"/>
          <w:lang w:val="uz-Latn-UZ"/>
        </w:rPr>
        <w:t xml:space="preserve">Keysni yechish jarayoni:</w:t>
      </w:r>
    </w:p>
    <w:p>
      <w:pPr>
        <w:pStyle w:val="ListParagraph"/>
        <w:numPr>
          <w:ilvl w:val="0"/>
          <w:numId w:val="2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Avval har bir instrumentning daromadlilik va risk darajasini solishtiring.</w:t>
      </w:r>
    </w:p>
    <w:p>
      <w:pPr>
        <w:pStyle w:val="ListParagraph"/>
        <w:numPr>
          <w:ilvl w:val="0"/>
          <w:numId w:val="2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Soʻng korrelyatsiyasi past boʻlishi mumkin boʻlgan kombinatsiyalarni ajrating.</w:t>
      </w:r>
    </w:p>
    <w:p>
      <w:pPr>
        <w:pStyle w:val="ListParagraph"/>
        <w:numPr>
          <w:ilvl w:val="0"/>
          <w:numId w:val="2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Mijozning riskka moyilligi oʻrtacha ekanini hisobga olib, portfelda xavfni pasaytiruvchi aktivlar ulushini oshiring.</w:t>
      </w:r>
    </w:p>
    <w:p>
      <w:pPr>
        <w:pStyle w:val="ListParagraph"/>
        <w:numPr>
          <w:ilvl w:val="0"/>
          <w:numId w:val="2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Yakunida taklifni qisqa xulosa bilan asoslang.</w:t>
      </w:r>
    </w:p>
    <w:p>
      <w:pPr>
        <w:keepNext/>
        <w:spacing w:after="20" w:before="80" w:line="360" w:lineRule="auto"/>
        <w:jc w:val="left"/>
      </w:pPr>
      <w:r>
        <w:rPr>
          <w:rFonts w:ascii="Times New Roman" w:cs="Times New Roman" w:eastAsia="Times New Roman" w:hAnsi="Times New Roman"/>
          <w:b/>
          <w:bCs/>
          <w:sz w:val="28"/>
          <w:szCs w:val="28"/>
          <w:lang w:val="uz-Latn-UZ"/>
        </w:rPr>
        <w:t xml:space="preserve">Oʻqituvchining yechimi: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Diversifikatsiya portfel riskini kamaytirish uchun aktivlarni bir nechta yoʻnalishga tarqatish usulidir. Bu vaziyatda davlat obligatsiyalari va bank depoziti portfelga barqarorlik beradi, sanoat aksiyalari esa oʻsish imkonini yaratadi. Agar aksiyalar va obligatsiyalar daromadliligi turlicha harakat qilsa, portfelning umumiy tebranishi pasayadi. Eng kuchli risk kamayishi odatda oʻzaro bogʻliqligi past boʻlgan aktivlar kombinatsiyasida kuzatiladi. Mijoz uchun masalan, obligatsiyalarga 40 foiz, aksiyalarga 35 foiz, depozitga 25 foiz ajratish mantiqli boʻlishi mumkin. Bunday taqsimot daromad va barqarorlik oʻrtasida muvozanat yaratadi. Yakuniy qaror uchun korrelyatsiya, tarixiy tebranish, xarajatlar va likvidlik boʻyicha qoʻshimcha maʼlumotlar kerak boʻladi.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6-keys. Toʻrt yillik pul oqimi asosida investitsiya mezonini tanlash</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bayoni.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Fargʻona viloyatidagi «Ferghana AgroTech» MCHJ 2025-yil iyul oyida tomchilatib sugʻorish uskunalarini ishlab chiqarish liniyasini ishga tushirish loyihasini koʻrib chiqdi. Loyiha boʻyicha boshlangʻich kapital qoʻyilma 2,4 milliard soʻmni tashkil etadi. Moliyaviy direktor Mavluda Tursunova loyihaning ichki foiz stavkasini aniqlamasdan turib, kredit boʻyicha 21 foizli yillik stavkani qabul qilish xavfli ekanini taʼkidladi. Loyiha 4 yil davomida turli hajmdagi sof pul oqimlari keltirishi rejalashtirilgan. Birinchi yil ishlab chiqarish jarayonini sozlash sababli pul tushumi nisbatan past, keyingi yillarda esa bozor kengayishi hisobiga oʻsish kutilmoqda. Investorlar kengashi loyihani faqat IRR kredit narxidan yuqori boʻlsa maʼqullashini bildirdi. Shu sabab, tahlilchi loyiha pul oqimlarini diskontlashsiz emas, aynan ichki rentabellik mezoni boʻyicha baholashi va qaror uchun aniq xulosa tayyorlashi kerak.</w:t>
      </w:r>
    </w:p>
    <w:p>
      <w:pPr>
        <w:keepNext/>
        <w:spacing w:after="20" w:before="80" w:line="360" w:lineRule="auto"/>
        <w:jc w:val="left"/>
      </w:pPr>
      <w:r>
        <w:rPr>
          <w:rFonts w:ascii="Times New Roman" w:cs="Times New Roman" w:eastAsia="Times New Roman" w:hAnsi="Times New Roman"/>
          <w:b/>
          <w:bCs/>
          <w:sz w:val="28"/>
          <w:szCs w:val="28"/>
          <w:lang w:val="uz-Latn-UZ"/>
        </w:rPr>
        <w:t xml:space="preserve">6-jadval. Ferghana AgroTech loyihasining pul oqimlari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1385"/>
        <w:gridCol w:w="7969"/>
      </w:tblGrid>
      <w:tr>
        <w:trPr>
          <w:cantSplit/>
          <w:tblHeader/>
        </w:trPr>
        <w:tc>
          <w:tcPr>
            <w:tcW w:type="dxa" w:w="138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Yil</w:t>
            </w:r>
          </w:p>
        </w:tc>
        <w:tc>
          <w:tcPr>
            <w:tcW w:type="dxa" w:w="796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Sof pul oqimi, mln soʻm</w:t>
            </w:r>
          </w:p>
        </w:tc>
      </w:tr>
      <w:tr>
        <w:trPr>
          <w:cantSplit/>
          <w:tblHeader w:val="false"/>
        </w:trPr>
        <w:tc>
          <w:tcPr>
            <w:tcW w:type="dxa" w:w="138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0</w:t>
            </w:r>
          </w:p>
        </w:tc>
        <w:tc>
          <w:tcPr>
            <w:tcW w:type="dxa" w:w="79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-2400</w:t>
            </w:r>
          </w:p>
        </w:tc>
      </w:tr>
      <w:tr>
        <w:trPr>
          <w:cantSplit/>
          <w:tblHeader w:val="false"/>
        </w:trPr>
        <w:tc>
          <w:tcPr>
            <w:tcW w:type="dxa" w:w="138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w:t>
            </w:r>
          </w:p>
        </w:tc>
        <w:tc>
          <w:tcPr>
            <w:tcW w:type="dxa" w:w="79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620</w:t>
            </w:r>
          </w:p>
        </w:tc>
      </w:tr>
      <w:tr>
        <w:trPr>
          <w:cantSplit/>
          <w:tblHeader w:val="false"/>
        </w:trPr>
        <w:tc>
          <w:tcPr>
            <w:tcW w:type="dxa" w:w="138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2</w:t>
            </w:r>
          </w:p>
        </w:tc>
        <w:tc>
          <w:tcPr>
            <w:tcW w:type="dxa" w:w="79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840</w:t>
            </w:r>
          </w:p>
        </w:tc>
      </w:tr>
      <w:tr>
        <w:trPr>
          <w:cantSplit/>
          <w:tblHeader w:val="false"/>
        </w:trPr>
        <w:tc>
          <w:tcPr>
            <w:tcW w:type="dxa" w:w="138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3</w:t>
            </w:r>
          </w:p>
        </w:tc>
        <w:tc>
          <w:tcPr>
            <w:tcW w:type="dxa" w:w="79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980</w:t>
            </w:r>
          </w:p>
        </w:tc>
      </w:tr>
      <w:tr>
        <w:trPr>
          <w:cantSplit/>
          <w:tblHeader w:val="false"/>
        </w:trPr>
        <w:tc>
          <w:tcPr>
            <w:tcW w:type="dxa" w:w="138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4</w:t>
            </w:r>
          </w:p>
        </w:tc>
        <w:tc>
          <w:tcPr>
            <w:tcW w:type="dxa" w:w="79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1120</w:t>
            </w:r>
          </w:p>
        </w:tc>
      </w:tr>
    </w:tbl>
    <w:p>
      <w:pPr>
        <w:keepNext/>
        <w:spacing w:after="20" w:before="80" w:line="360" w:lineRule="auto"/>
        <w:jc w:val="left"/>
      </w:pPr>
      <w:r>
        <w:rPr>
          <w:rFonts w:ascii="Times New Roman" w:cs="Times New Roman" w:eastAsia="Times New Roman" w:hAnsi="Times New Roman"/>
          <w:b/>
          <w:bCs/>
          <w:sz w:val="28"/>
          <w:szCs w:val="28"/>
          <w:lang w:val="uz-Latn-UZ"/>
        </w:rPr>
        <w:t xml:space="preserve">Muammoli savollar:</w:t>
      </w:r>
    </w:p>
    <w:p>
      <w:pPr>
        <w:pStyle w:val="ListParagraph"/>
        <w:numPr>
          <w:ilvl w:val="0"/>
          <w:numId w:val="2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Loyiha uchun ichki foiz stavkasi nimani anglatadi va u investitsiya qarorida qanday oʻrin tutadi? (2 ball)</w:t>
      </w:r>
    </w:p>
    <w:p>
      <w:pPr>
        <w:pStyle w:val="ListParagraph"/>
        <w:numPr>
          <w:ilvl w:val="0"/>
          <w:numId w:val="2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Berilgan pul oqimlari asosida loyihaning IRR sini topish uchun qanday hisoblash yondashuvidan foydalanasiz? (3 ball)</w:t>
      </w:r>
    </w:p>
    <w:p>
      <w:pPr>
        <w:pStyle w:val="ListParagraph"/>
        <w:numPr>
          <w:ilvl w:val="0"/>
          <w:numId w:val="2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Agar IRR kredit stavkasidan yuqori chiqsa, bu loyiha qabul qilinishi uchun yetarlimi? Javobni izohlang. (2 ball)</w:t>
      </w:r>
    </w:p>
    <w:p>
      <w:pPr>
        <w:pStyle w:val="ListParagraph"/>
        <w:numPr>
          <w:ilvl w:val="0"/>
          <w:numId w:val="2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IRR mezonining kamida bitta cheklovini koʻrsating. (1 ball)</w:t>
      </w:r>
    </w:p>
    <w:p>
      <w:pPr>
        <w:keepNext/>
        <w:spacing w:after="20" w:before="80" w:line="360" w:lineRule="auto"/>
        <w:jc w:val="left"/>
      </w:pPr>
      <w:r>
        <w:rPr>
          <w:rFonts w:ascii="Times New Roman" w:cs="Times New Roman" w:eastAsia="Times New Roman" w:hAnsi="Times New Roman"/>
          <w:b/>
          <w:bCs/>
          <w:sz w:val="28"/>
          <w:szCs w:val="28"/>
          <w:lang w:val="uz-Latn-UZ"/>
        </w:rPr>
        <w:t xml:space="preserve">Manba:</w:t>
      </w:r>
    </w:p>
    <w:p>
      <w:pPr>
        <w:pStyle w:val="ListParagraph"/>
        <w:numPr>
          <w:ilvl w:val="0"/>
          <w:numId w:val="2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Alan C. Shapiro. Capital Budgeting and Investment Analysis. – Pearson, 2020.</w:t>
      </w:r>
    </w:p>
    <w:p>
      <w:pPr>
        <w:pStyle w:val="ListParagraph"/>
        <w:numPr>
          <w:ilvl w:val="0"/>
          <w:numId w:val="2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Jonathan Berk, Peter DeMarzo. Corporate Finance. – Pearson, 2023.</w:t>
      </w:r>
    </w:p>
    <w:p>
      <w:pPr>
        <w:pStyle w:val="ListParagraph"/>
        <w:numPr>
          <w:ilvl w:val="0"/>
          <w:numId w:val="2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 M. Mahmudov. Investitsiya loyihalarini moliyaviy baholash. – Toshkent: Fan va texnologiya, 2018.</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tahlili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Talaba IRR ni nol NPV sharti bilan bogʻlashi, uni alternativ mablagʻ narxi bilan taqqoslashi va qarorni iqtisodiy mazmun bilan tushuntirishi kerak.</w:t>
      </w:r>
    </w:p>
    <w:p>
      <w:pPr>
        <w:keepNext/>
        <w:spacing w:after="20" w:before="80" w:line="360" w:lineRule="auto"/>
        <w:jc w:val="left"/>
      </w:pPr>
      <w:r>
        <w:rPr>
          <w:rFonts w:ascii="Times New Roman" w:cs="Times New Roman" w:eastAsia="Times New Roman" w:hAnsi="Times New Roman"/>
          <w:b/>
          <w:bCs/>
          <w:sz w:val="28"/>
          <w:szCs w:val="28"/>
          <w:lang w:val="uz-Latn-UZ"/>
        </w:rPr>
        <w:t xml:space="preserve">Talabalarga metodik koʻrsatma:</w:t>
      </w:r>
    </w:p>
    <w:p>
      <w:pPr>
        <w:pStyle w:val="ListParagraph"/>
        <w:numPr>
          <w:ilvl w:val="0"/>
          <w:numId w:val="2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Avval investitsiya chiqimini va keyingi yillardagi pul oqimlarini alohida yozib chiqing.</w:t>
      </w:r>
    </w:p>
    <w:p>
      <w:pPr>
        <w:pStyle w:val="ListParagraph"/>
        <w:numPr>
          <w:ilvl w:val="0"/>
          <w:numId w:val="2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IRR qaror mezoni sifatida kredit stavkasi yoki talab qilinadigan rentabellik bilan solishtiriladi.</w:t>
      </w:r>
    </w:p>
    <w:p>
      <w:pPr>
        <w:pStyle w:val="ListParagraph"/>
        <w:numPr>
          <w:ilvl w:val="0"/>
          <w:numId w:val="2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Hisoblashda taxminiy interpolatsiya yoki moliyaviy kalkulyatordan foydalanish mumkin.</w:t>
      </w:r>
    </w:p>
    <w:p>
      <w:pPr>
        <w:pStyle w:val="ListParagraph"/>
        <w:numPr>
          <w:ilvl w:val="0"/>
          <w:numId w:val="2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Yakuniy javobda faqat son emas, iqtisodiy xulosa ham boʻlsin.</w:t>
      </w:r>
    </w:p>
    <w:p>
      <w:pPr>
        <w:keepNext/>
        <w:spacing w:after="20" w:before="80" w:line="360" w:lineRule="auto"/>
        <w:jc w:val="left"/>
      </w:pPr>
      <w:r>
        <w:rPr>
          <w:rFonts w:ascii="Times New Roman" w:cs="Times New Roman" w:eastAsia="Times New Roman" w:hAnsi="Times New Roman"/>
          <w:b/>
          <w:bCs/>
          <w:sz w:val="28"/>
          <w:szCs w:val="28"/>
          <w:lang w:val="uz-Latn-UZ"/>
        </w:rPr>
        <w:t xml:space="preserve">Keysni yechish jarayoni:</w:t>
      </w:r>
    </w:p>
    <w:p>
      <w:pPr>
        <w:pStyle w:val="ListParagraph"/>
        <w:numPr>
          <w:ilvl w:val="0"/>
          <w:numId w:val="2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Boshlangʻich investitsiyani manfiy pul oqimi sifatida belgilang.</w:t>
      </w:r>
    </w:p>
    <w:p>
      <w:pPr>
        <w:pStyle w:val="ListParagraph"/>
        <w:numPr>
          <w:ilvl w:val="0"/>
          <w:numId w:val="2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 yilgi tushumlarni ketma-ket joylashtirib, NPV nolga teng boʻladigan stavkani qidiring.</w:t>
      </w:r>
    </w:p>
    <w:p>
      <w:pPr>
        <w:pStyle w:val="ListParagraph"/>
        <w:numPr>
          <w:ilvl w:val="0"/>
          <w:numId w:val="2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Topilgan IRR ni 21 foizlik kredit stavkasi bilan solishtiring.</w:t>
      </w:r>
    </w:p>
    <w:p>
      <w:pPr>
        <w:pStyle w:val="ListParagraph"/>
        <w:numPr>
          <w:ilvl w:val="0"/>
          <w:numId w:val="2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IRR yuqori boʻlsa ham, risk, likvidlik va kapital cheklovlarini qisqa eslatib oʻting.</w:t>
      </w:r>
    </w:p>
    <w:p>
      <w:pPr>
        <w:keepNext/>
        <w:spacing w:after="20" w:before="80" w:line="360" w:lineRule="auto"/>
        <w:jc w:val="left"/>
      </w:pPr>
      <w:r>
        <w:rPr>
          <w:rFonts w:ascii="Times New Roman" w:cs="Times New Roman" w:eastAsia="Times New Roman" w:hAnsi="Times New Roman"/>
          <w:b/>
          <w:bCs/>
          <w:sz w:val="28"/>
          <w:szCs w:val="28"/>
          <w:lang w:val="uz-Latn-UZ"/>
        </w:rPr>
        <w:t xml:space="preserve">Oʻqituvchining yechimi: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Ichki foiz stavkasi loyihaning kutilayotgan pul oqimlari boʻyicha sof joriy qiymatni nolga teng qiladigan diskont stavkasidir. Bu koʻrsatkich loyiha rentabelligini alternativ kapital qiymati bilan solishtirishga xizmat qiladi. Berilgan pul oqimlari uchun IRRni topish yoʻli NPV ni turli stavkalarda hisoblash va nolga yaqin nuqtani aniqlashdir. Agar topilgan IRR 21 foizdan yuqori boʻlsa, loyiha moliyaviy jihatdan qabul qilinishi mumkin. Biroq bu yakuniy qaror uchun yetarli emas, chunki risk darajasi, pul oqimlarining ishonchliligi va loyiha muddati ham baholanishi kerak. IRR mezonining cheklovlaridan biri shundaki, u loyiha koʻlami va mutlaq foyda miqdorini toʻliq koʻrsatmaydi.</w:t>
      </w:r>
    </w:p>
    <w:p>
      <w:pPr>
        <w:keepNext/>
        <w:spacing w:after="100" w:before="240" w:line="360" w:lineRule="auto"/>
        <w:jc w:val="left"/>
      </w:pPr>
      <w:r>
        <w:rPr>
          <w:rFonts w:ascii="Times New Roman" w:cs="Times New Roman" w:eastAsia="Times New Roman" w:hAnsi="Times New Roman"/>
          <w:b/>
          <w:bCs/>
          <w:sz w:val="28"/>
          <w:szCs w:val="28"/>
          <w:lang w:val="uz-Latn-UZ"/>
        </w:rPr>
        <w:t xml:space="preserve">7-keys. Hudud tanlashda sarmoya muhiti boʻyicha taqqoslovchi tahlil</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bayoni.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2026-yil mart oyida «Navbahor Textile» aksiyadorlik jamiyati yangi tikuv-trikotaj sexi uchun joy tanlash masalasini koʻrib chiqdi. Kompaniya rahbariyati Jizzax, Namangan va Buxoro viloyatlaridagi uchta sanoat hududini dastlabki baholashdan oʻtkazdi. Korxona uchun energiya taʼminoti barqarorligi, logistika xarajati, mehnat resurslari mavjudligi, mahalliy imtiyozlar va bojxona punktlariga yaqinlik muhim hisoblanadi. Hududiy savdo-sanoat palatasi vakillari har bir viloyat boʻyicha turli koʻrsatkichlarni jamlab, ichki reyting tuzdilar. Biroq reytingning oʻzi yakuniy qaror uchun yetarli emas edi: korxona import xomashyo ulushi yuqori boʻlgani uchun transport zanjiri uzluksizligi va bojxona rasmiylashtiruvi tezligini ham inobatga olishi kerak edi. Tahlilchi yakunda qaysi hudud investor uchun qulayroq muhit yaratishini dalillar bilan taqqoslab berishi lozim edi.</w:t>
      </w:r>
    </w:p>
    <w:p>
      <w:pPr>
        <w:keepNext/>
        <w:spacing w:after="20" w:before="80" w:line="360" w:lineRule="auto"/>
        <w:jc w:val="left"/>
      </w:pPr>
      <w:r>
        <w:rPr>
          <w:rFonts w:ascii="Times New Roman" w:cs="Times New Roman" w:eastAsia="Times New Roman" w:hAnsi="Times New Roman"/>
          <w:b/>
          <w:bCs/>
          <w:sz w:val="28"/>
          <w:szCs w:val="28"/>
          <w:lang w:val="uz-Latn-UZ"/>
        </w:rPr>
        <w:t xml:space="preserve">7-jadval. Hududlar boʻyicha ichki taqqoslash jadvali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4762"/>
        <w:gridCol w:w="1360"/>
        <w:gridCol w:w="1870"/>
        <w:gridCol w:w="1362"/>
      </w:tblGrid>
      <w:tr>
        <w:trPr>
          <w:cantSplit/>
          <w:tblHeader/>
        </w:trPr>
        <w:tc>
          <w:tcPr>
            <w:tcW w:type="dxa" w:w="476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Mezon</w:t>
            </w:r>
          </w:p>
        </w:tc>
        <w:tc>
          <w:tcPr>
            <w:tcW w:type="dxa" w:w="1360"/>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Jizzax</w:t>
            </w:r>
          </w:p>
        </w:tc>
        <w:tc>
          <w:tcPr>
            <w:tcW w:type="dxa" w:w="1870"/>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Namangan</w:t>
            </w:r>
          </w:p>
        </w:tc>
        <w:tc>
          <w:tcPr>
            <w:tcW w:type="dxa" w:w="136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Buxoro</w:t>
            </w:r>
          </w:p>
        </w:tc>
      </w:tr>
      <w:tr>
        <w:trPr>
          <w:cantSplit/>
          <w:tblHeader w:val="false"/>
        </w:trPr>
        <w:tc>
          <w:tcPr>
            <w:tcW w:type="dxa" w:w="47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Energiya barqarorligi</w:t>
            </w:r>
          </w:p>
        </w:tc>
        <w:tc>
          <w:tcPr>
            <w:tcW w:type="dxa" w:w="136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Yaxshi</w:t>
            </w:r>
          </w:p>
        </w:tc>
        <w:tc>
          <w:tcPr>
            <w:tcW w:type="dxa" w:w="187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Juda yaxshi</w:t>
            </w:r>
          </w:p>
        </w:tc>
        <w:tc>
          <w:tcPr>
            <w:tcW w:type="dxa" w:w="13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Oʻrtacha</w:t>
            </w:r>
          </w:p>
        </w:tc>
      </w:tr>
      <w:tr>
        <w:trPr>
          <w:cantSplit/>
          <w:tblHeader w:val="false"/>
        </w:trPr>
        <w:tc>
          <w:tcPr>
            <w:tcW w:type="dxa" w:w="47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Logistika xarajati</w:t>
            </w:r>
          </w:p>
        </w:tc>
        <w:tc>
          <w:tcPr>
            <w:tcW w:type="dxa" w:w="136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Past</w:t>
            </w:r>
          </w:p>
        </w:tc>
        <w:tc>
          <w:tcPr>
            <w:tcW w:type="dxa" w:w="187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Oʻrtacha</w:t>
            </w:r>
          </w:p>
        </w:tc>
        <w:tc>
          <w:tcPr>
            <w:tcW w:type="dxa" w:w="13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Past</w:t>
            </w:r>
          </w:p>
        </w:tc>
      </w:tr>
      <w:tr>
        <w:trPr>
          <w:cantSplit/>
          <w:tblHeader w:val="false"/>
        </w:trPr>
        <w:tc>
          <w:tcPr>
            <w:tcW w:type="dxa" w:w="47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Mehnat resurslari</w:t>
            </w:r>
          </w:p>
        </w:tc>
        <w:tc>
          <w:tcPr>
            <w:tcW w:type="dxa" w:w="136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Oʻrtacha</w:t>
            </w:r>
          </w:p>
        </w:tc>
        <w:tc>
          <w:tcPr>
            <w:tcW w:type="dxa" w:w="187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Yuqori</w:t>
            </w:r>
          </w:p>
        </w:tc>
        <w:tc>
          <w:tcPr>
            <w:tcW w:type="dxa" w:w="13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Oʻrtacha</w:t>
            </w:r>
          </w:p>
        </w:tc>
      </w:tr>
      <w:tr>
        <w:trPr>
          <w:cantSplit/>
          <w:tblHeader w:val="false"/>
        </w:trPr>
        <w:tc>
          <w:tcPr>
            <w:tcW w:type="dxa" w:w="47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Mahalliy imtiyozlar</w:t>
            </w:r>
          </w:p>
        </w:tc>
        <w:tc>
          <w:tcPr>
            <w:tcW w:type="dxa" w:w="136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Yuqori</w:t>
            </w:r>
          </w:p>
        </w:tc>
        <w:tc>
          <w:tcPr>
            <w:tcW w:type="dxa" w:w="187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Oʻrtacha</w:t>
            </w:r>
          </w:p>
        </w:tc>
        <w:tc>
          <w:tcPr>
            <w:tcW w:type="dxa" w:w="13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Yuqori</w:t>
            </w:r>
          </w:p>
        </w:tc>
      </w:tr>
      <w:tr>
        <w:trPr>
          <w:cantSplit/>
          <w:tblHeader w:val="false"/>
        </w:trPr>
        <w:tc>
          <w:tcPr>
            <w:tcW w:type="dxa" w:w="47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Bojxona va tranzit qulayligi</w:t>
            </w:r>
          </w:p>
        </w:tc>
        <w:tc>
          <w:tcPr>
            <w:tcW w:type="dxa" w:w="136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Yaxshi</w:t>
            </w:r>
          </w:p>
        </w:tc>
        <w:tc>
          <w:tcPr>
            <w:tcW w:type="dxa" w:w="187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Oʻrtacha</w:t>
            </w:r>
          </w:p>
        </w:tc>
        <w:tc>
          <w:tcPr>
            <w:tcW w:type="dxa" w:w="13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Yaxshi</w:t>
            </w:r>
          </w:p>
        </w:tc>
      </w:tr>
    </w:tbl>
    <w:p>
      <w:pPr>
        <w:keepNext/>
        <w:spacing w:after="20" w:before="80" w:line="360" w:lineRule="auto"/>
        <w:jc w:val="left"/>
      </w:pPr>
      <w:r>
        <w:rPr>
          <w:rFonts w:ascii="Times New Roman" w:cs="Times New Roman" w:eastAsia="Times New Roman" w:hAnsi="Times New Roman"/>
          <w:b/>
          <w:bCs/>
          <w:sz w:val="28"/>
          <w:szCs w:val="28"/>
          <w:lang w:val="uz-Latn-UZ"/>
        </w:rPr>
        <w:t xml:space="preserve">Muammoli savollar:</w:t>
      </w:r>
    </w:p>
    <w:p>
      <w:pPr>
        <w:pStyle w:val="ListParagraph"/>
        <w:numPr>
          <w:ilvl w:val="0"/>
          <w:numId w:val="2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Jizzax, Namangan va Buxoro hududlarining investitsiya muhiti qaysi mezonlar boʻyicha taqqoslanganini sanab bering. (2 ball)</w:t>
      </w:r>
    </w:p>
    <w:p>
      <w:pPr>
        <w:pStyle w:val="ListParagraph"/>
        <w:numPr>
          <w:ilvl w:val="0"/>
          <w:numId w:val="2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Qaysi hudud tikuv-trikotaj sexi uchun nisbatan qulayroq boʻlishi mumkinligini aniqlang va sababini yozing. (3 ball)</w:t>
      </w:r>
    </w:p>
    <w:p>
      <w:pPr>
        <w:pStyle w:val="ListParagraph"/>
        <w:numPr>
          <w:ilvl w:val="0"/>
          <w:numId w:val="2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Hudud tanlashda faqat reytingga tayanish nega yetarli emas? (2 ball)</w:t>
      </w:r>
    </w:p>
    <w:p>
      <w:pPr>
        <w:pStyle w:val="ListParagraph"/>
        <w:numPr>
          <w:ilvl w:val="0"/>
          <w:numId w:val="2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Investitsiya muhitini baholashda yana qaysi ikki omilni qoʻshish mumkin? (1 ball)</w:t>
      </w:r>
    </w:p>
    <w:p>
      <w:pPr>
        <w:keepNext/>
        <w:spacing w:after="20" w:before="80" w:line="360" w:lineRule="auto"/>
        <w:jc w:val="left"/>
      </w:pPr>
      <w:r>
        <w:rPr>
          <w:rFonts w:ascii="Times New Roman" w:cs="Times New Roman" w:eastAsia="Times New Roman" w:hAnsi="Times New Roman"/>
          <w:b/>
          <w:bCs/>
          <w:sz w:val="28"/>
          <w:szCs w:val="28"/>
          <w:lang w:val="uz-Latn-UZ"/>
        </w:rPr>
        <w:t xml:space="preserve">Manba:</w:t>
      </w:r>
    </w:p>
    <w:p>
      <w:pPr>
        <w:pStyle w:val="ListParagraph"/>
        <w:numPr>
          <w:ilvl w:val="0"/>
          <w:numId w:val="2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World Bank. Investment Policy and Regional Development in Uzbekistan. – World Bank, 2020.</w:t>
      </w:r>
    </w:p>
    <w:p>
      <w:pPr>
        <w:pStyle w:val="ListParagraph"/>
        <w:numPr>
          <w:ilvl w:val="0"/>
          <w:numId w:val="2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World Bank. Doing Business 2020. – World Bank, 2020.</w:t>
      </w:r>
    </w:p>
    <w:p>
      <w:pPr>
        <w:pStyle w:val="ListParagraph"/>
        <w:numPr>
          <w:ilvl w:val="0"/>
          <w:numId w:val="2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 X. Xoʻjayev. Investitsiya loyihalarini hududiy joylashtirish masalalari. – Toshkent davlat iqtisodiyot universiteti nashri, 2021.</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tahlili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Talaba hududiy investitsiya muhitini koʻp mezonli taqqoslash orqali baholashi, korxona ehtiyojiga mos mezonlarga ustuvorlik berishi kerak.</w:t>
      </w:r>
    </w:p>
    <w:p>
      <w:pPr>
        <w:keepNext/>
        <w:spacing w:after="20" w:before="80" w:line="360" w:lineRule="auto"/>
        <w:jc w:val="left"/>
      </w:pPr>
      <w:r>
        <w:rPr>
          <w:rFonts w:ascii="Times New Roman" w:cs="Times New Roman" w:eastAsia="Times New Roman" w:hAnsi="Times New Roman"/>
          <w:b/>
          <w:bCs/>
          <w:sz w:val="28"/>
          <w:szCs w:val="28"/>
          <w:lang w:val="uz-Latn-UZ"/>
        </w:rPr>
        <w:t xml:space="preserve">Talabalarga metodik koʻrsatma:</w:t>
      </w:r>
    </w:p>
    <w:p>
      <w:pPr>
        <w:pStyle w:val="ListParagraph"/>
        <w:numPr>
          <w:ilvl w:val="0"/>
          <w:numId w:val="2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Jadvaldagi har bir mezonni korxona faoliyati bilan bogʻlab izohlang.</w:t>
      </w:r>
    </w:p>
    <w:p>
      <w:pPr>
        <w:pStyle w:val="ListParagraph"/>
        <w:numPr>
          <w:ilvl w:val="0"/>
          <w:numId w:val="2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Koʻp mezonli tahlilda muhimroq omillarga alohida ogʻirlik berishni unutmang.</w:t>
      </w:r>
    </w:p>
    <w:p>
      <w:pPr>
        <w:pStyle w:val="ListParagraph"/>
        <w:numPr>
          <w:ilvl w:val="0"/>
          <w:numId w:val="2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Faqat umumiy reyting emas, korxonaning xomashyo va logistika ehtiyojini ham hisobga oling.</w:t>
      </w:r>
    </w:p>
    <w:p>
      <w:pPr>
        <w:pStyle w:val="ListParagraph"/>
        <w:numPr>
          <w:ilvl w:val="0"/>
          <w:numId w:val="2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aniq hudud nomi bilan yakunlansin.</w:t>
      </w:r>
    </w:p>
    <w:p>
      <w:pPr>
        <w:keepNext/>
        <w:spacing w:after="20" w:before="80" w:line="360" w:lineRule="auto"/>
        <w:jc w:val="left"/>
      </w:pPr>
      <w:r>
        <w:rPr>
          <w:rFonts w:ascii="Times New Roman" w:cs="Times New Roman" w:eastAsia="Times New Roman" w:hAnsi="Times New Roman"/>
          <w:b/>
          <w:bCs/>
          <w:sz w:val="28"/>
          <w:szCs w:val="28"/>
          <w:lang w:val="uz-Latn-UZ"/>
        </w:rPr>
        <w:t xml:space="preserve">Keysni yechish jarayoni:</w:t>
      </w:r>
    </w:p>
    <w:p>
      <w:pPr>
        <w:pStyle w:val="ListParagraph"/>
        <w:numPr>
          <w:ilvl w:val="0"/>
          <w:numId w:val="3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 bir hududni mezonlar boʻyicha ketma-ket solishtiring.</w:t>
      </w:r>
    </w:p>
    <w:p>
      <w:pPr>
        <w:pStyle w:val="ListParagraph"/>
        <w:numPr>
          <w:ilvl w:val="0"/>
          <w:numId w:val="3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Korxona uchun eng muhim mezonlarni aniqlang.</w:t>
      </w:r>
    </w:p>
    <w:p>
      <w:pPr>
        <w:pStyle w:val="ListParagraph"/>
        <w:numPr>
          <w:ilvl w:val="0"/>
          <w:numId w:val="3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Ushbu mezonlarga koʻproq mos hududni ajrating.</w:t>
      </w:r>
    </w:p>
    <w:p>
      <w:pPr>
        <w:pStyle w:val="ListParagraph"/>
        <w:numPr>
          <w:ilvl w:val="0"/>
          <w:numId w:val="3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qisqacha asos bilan berilsin.</w:t>
      </w:r>
    </w:p>
    <w:p>
      <w:pPr>
        <w:keepNext/>
        <w:spacing w:after="20" w:before="80" w:line="360" w:lineRule="auto"/>
        <w:jc w:val="left"/>
      </w:pPr>
      <w:r>
        <w:rPr>
          <w:rFonts w:ascii="Times New Roman" w:cs="Times New Roman" w:eastAsia="Times New Roman" w:hAnsi="Times New Roman"/>
          <w:b/>
          <w:bCs/>
          <w:sz w:val="28"/>
          <w:szCs w:val="28"/>
          <w:lang w:val="uz-Latn-UZ"/>
        </w:rPr>
        <w:t xml:space="preserve">Oʻqituvchining yechimi: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Hududlar investitsiya muhiti boʻyicha energiya barqarorligi, logistika xarajati, mehnat resurslari, mahalliy imtiyozlar va tranzit qulayligi asosida taqqoslandi. Tikuv-trikotaj sexi uchun Namangan mehnat resurslari boʻyicha ustun, ammo logistika va tranzitda Jizzax va Buxoro nisbatan qulayroq koʻrinadi. Agar korxona import xomashyo bilan ishlasa, logistika uzluksizligi va bojxona qulayligi muhimroq boʻlib, Jizzax eng muvozanatli tanlov boʻlishi mumkin. Buxoro ham logistika va imtiyozlar boʻyicha kuchli, lekin energiya barqarorligi pastroq baholangan. Faqat reytingga tayanish yetarli emas, chunki loyiha ehtiyojlari har xil boʻladi. Shuning uchun yakuniy qaror korxona xarajat tuzilmasi va taʼminot zanjiriga mos holda qabul qilinishi kerak.</w:t>
      </w:r>
    </w:p>
    <w:p>
      <w:pPr>
        <w:keepNext/>
        <w:spacing w:after="100" w:before="240" w:line="360" w:lineRule="auto"/>
        <w:jc w:val="left"/>
      </w:pPr>
      <w:r>
        <w:rPr>
          <w:rFonts w:ascii="Times New Roman" w:cs="Times New Roman" w:eastAsia="Times New Roman" w:hAnsi="Times New Roman"/>
          <w:b/>
          <w:bCs/>
          <w:sz w:val="28"/>
          <w:szCs w:val="28"/>
          <w:lang w:val="uz-Latn-UZ"/>
        </w:rPr>
        <w:t xml:space="preserve">8-keys. Suv tozalash inshooti boʻyicha sheriklik taklifini baholash</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bayoni.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Andijon viloyatining Baliqchi tumanida 2026-yil fevral oyida ichimlik suvi sifatini yaxshilashga qaratilgan davlat-xususiy sheriklik loyihasi muhokama qilindi. Tuman hokimligi va xususiy investor «AndSuv Servis» MCHJ 15 yillik konsessiya asosida zamonaviy suv tozalash inshooti qurish boʻyicha dastlabki memorandum tayyorladi. Loyihaning umumiy qiymati 28 milliard soʻm deb belgilandi, shundan 8 milliard soʻmi yer tayyorlash va tarmoqqa ulashga sarflanadi. Aholi uchun tarif siyosati ijtimoiy jihatdan sezgir boʻlgani sababli, tushumlar toʻliq bozor narxida shakllanmaydi. Investor esa uskunalarni yangilash, elektr energiyasi xarajatlari va kollektor tizimidagi yoʻqotishlar boʻyicha xavotir bildirdi. Tuman moliya boʻlimi loyiha shartnomasida tavakkalchiliklarni aniq taqsimlash, toʻlov mexanizmini belgilash va xizmat sifati boʻyicha nazorat indikatorlarini kiritishni taklif qildi. Tahlilchi vazifasi — bu sheriklik loyihasi davlat uchun foyda, investor uchun yetarli rentabellik va isteʼmolchi uchun maqbullikni bir vaqtning oʻzida taʼminlay oladimi, degan savolga asosli javob tayyorlash edi.</w:t>
      </w:r>
    </w:p>
    <w:p>
      <w:pPr>
        <w:keepNext/>
        <w:spacing w:after="20" w:before="80" w:line="360" w:lineRule="auto"/>
        <w:jc w:val="left"/>
      </w:pPr>
      <w:r>
        <w:rPr>
          <w:rFonts w:ascii="Times New Roman" w:cs="Times New Roman" w:eastAsia="Times New Roman" w:hAnsi="Times New Roman"/>
          <w:b/>
          <w:bCs/>
          <w:sz w:val="28"/>
          <w:szCs w:val="28"/>
          <w:lang w:val="uz-Latn-UZ"/>
        </w:rPr>
        <w:t xml:space="preserve">8-jadval. Baliqchi tumani suv tozalash loyihasi boʻyicha boshlangʻich koʻrsatkichlar</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5543"/>
        <w:gridCol w:w="3811"/>
      </w:tblGrid>
      <w:tr>
        <w:trPr>
          <w:cantSplit/>
          <w:tblHeader/>
        </w:trPr>
        <w:tc>
          <w:tcPr>
            <w:tcW w:type="dxa" w:w="554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Koʻrsatkich</w:t>
            </w:r>
          </w:p>
        </w:tc>
        <w:tc>
          <w:tcPr>
            <w:tcW w:type="dxa" w:w="381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Qiymat</w:t>
            </w:r>
          </w:p>
        </w:tc>
      </w:tr>
      <w:tr>
        <w:trPr>
          <w:cantSplit/>
          <w:tblHeader w:val="false"/>
        </w:trPr>
        <w:tc>
          <w:tcPr>
            <w:tcW w:type="dxa" w:w="554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Loyiha muddati</w:t>
            </w:r>
          </w:p>
        </w:tc>
        <w:tc>
          <w:tcPr>
            <w:tcW w:type="dxa" w:w="381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15 yil</w:t>
            </w:r>
          </w:p>
        </w:tc>
      </w:tr>
      <w:tr>
        <w:trPr>
          <w:cantSplit/>
          <w:tblHeader w:val="false"/>
        </w:trPr>
        <w:tc>
          <w:tcPr>
            <w:tcW w:type="dxa" w:w="554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Umumiy qiymat</w:t>
            </w:r>
          </w:p>
        </w:tc>
        <w:tc>
          <w:tcPr>
            <w:tcW w:type="dxa" w:w="381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28 milliard soʻm</w:t>
            </w:r>
          </w:p>
        </w:tc>
      </w:tr>
      <w:tr>
        <w:trPr>
          <w:cantSplit/>
          <w:tblHeader w:val="false"/>
        </w:trPr>
        <w:tc>
          <w:tcPr>
            <w:tcW w:type="dxa" w:w="554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Yer tayyorlash va tarmoqqa ulash</w:t>
            </w:r>
          </w:p>
        </w:tc>
        <w:tc>
          <w:tcPr>
            <w:tcW w:type="dxa" w:w="381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8 milliard soʻm</w:t>
            </w:r>
          </w:p>
        </w:tc>
      </w:tr>
      <w:tr>
        <w:trPr>
          <w:cantSplit/>
          <w:tblHeader w:val="false"/>
        </w:trPr>
        <w:tc>
          <w:tcPr>
            <w:tcW w:type="dxa" w:w="554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Asosiy yoʻnalish</w:t>
            </w:r>
          </w:p>
        </w:tc>
        <w:tc>
          <w:tcPr>
            <w:tcW w:type="dxa" w:w="381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Ichimlik suvi tozalash</w:t>
            </w:r>
          </w:p>
        </w:tc>
      </w:tr>
    </w:tbl>
    <w:p>
      <w:pPr>
        <w:keepNext/>
        <w:spacing w:after="20" w:before="80" w:line="360" w:lineRule="auto"/>
        <w:jc w:val="left"/>
      </w:pPr>
      <w:r>
        <w:rPr>
          <w:rFonts w:ascii="Times New Roman" w:cs="Times New Roman" w:eastAsia="Times New Roman" w:hAnsi="Times New Roman"/>
          <w:b/>
          <w:bCs/>
          <w:sz w:val="28"/>
          <w:szCs w:val="28"/>
          <w:lang w:val="uz-Latn-UZ"/>
        </w:rPr>
        <w:t xml:space="preserve">Muammoli savollar:</w:t>
      </w:r>
    </w:p>
    <w:p>
      <w:pPr>
        <w:pStyle w:val="ListParagraph"/>
        <w:numPr>
          <w:ilvl w:val="0"/>
          <w:numId w:val="3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Davlat-xususiy sheriklik loyihasini baholashda qaysi asosiy moliyaviy va nomoliyaviy mezonlar eʼtiborga olinadi? (2 ball)</w:t>
      </w:r>
    </w:p>
    <w:p>
      <w:pPr>
        <w:pStyle w:val="ListParagraph"/>
        <w:numPr>
          <w:ilvl w:val="0"/>
          <w:numId w:val="3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Berilgan vaziyatda risklarni davlat va xususiy tomon oʻrtasida qanday taqsimlash maqsadga muvofiq boʻlishi mumkin? (3 ball)</w:t>
      </w:r>
    </w:p>
    <w:p>
      <w:pPr>
        <w:pStyle w:val="ListParagraph"/>
        <w:numPr>
          <w:ilvl w:val="0"/>
          <w:numId w:val="3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Loyiha uchun toʻlov mexanizmini tanlashda qaysi omillar muhim hisoblanadi? (2 ball)</w:t>
      </w:r>
    </w:p>
    <w:p>
      <w:pPr>
        <w:pStyle w:val="ListParagraph"/>
        <w:numPr>
          <w:ilvl w:val="0"/>
          <w:numId w:val="3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Sheriklik loyihasining ijtimoiy samarasi qanday oʻlchanishi mumkin? (1 ball)</w:t>
      </w:r>
    </w:p>
    <w:p>
      <w:pPr>
        <w:keepNext/>
        <w:spacing w:after="20" w:before="80" w:line="360" w:lineRule="auto"/>
        <w:jc w:val="left"/>
      </w:pPr>
      <w:r>
        <w:rPr>
          <w:rFonts w:ascii="Times New Roman" w:cs="Times New Roman" w:eastAsia="Times New Roman" w:hAnsi="Times New Roman"/>
          <w:b/>
          <w:bCs/>
          <w:sz w:val="28"/>
          <w:szCs w:val="28"/>
          <w:lang w:val="uz-Latn-UZ"/>
        </w:rPr>
        <w:t xml:space="preserve">Manba:</w:t>
      </w:r>
    </w:p>
    <w:p>
      <w:pPr>
        <w:pStyle w:val="ListParagraph"/>
        <w:numPr>
          <w:ilvl w:val="0"/>
          <w:numId w:val="3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World Bank, Asian Development Bank, Inter-American Development Bank. Public-Private Partnerships Reference Guide Version 3. – World Bank, 2017.</w:t>
      </w:r>
    </w:p>
    <w:p>
      <w:pPr>
        <w:pStyle w:val="ListParagraph"/>
        <w:numPr>
          <w:ilvl w:val="0"/>
          <w:numId w:val="3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 R. Yescombe. Public-Private Partnerships in Infrastructure. – Elsevier, 2017.</w:t>
      </w:r>
    </w:p>
    <w:p>
      <w:pPr>
        <w:pStyle w:val="ListParagraph"/>
        <w:numPr>
          <w:ilvl w:val="0"/>
          <w:numId w:val="3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Oʻzbekiston Respublikasi Iqtisodiy taraqqiyot va kambagʻallikni qisqartirish vazirligi. Davlat-xususiy sheriklik asoslari. – Toshkent, 2022.</w:t>
      </w:r>
    </w:p>
    <w:p>
      <w:pPr>
        <w:keepNext/>
        <w:spacing w:after="20" w:before="80" w:line="360" w:lineRule="auto"/>
        <w:jc w:val="left"/>
      </w:pPr>
      <w:r>
        <w:rPr>
          <w:rFonts w:ascii="Times New Roman" w:cs="Times New Roman" w:eastAsia="Times New Roman" w:hAnsi="Times New Roman"/>
          <w:b/>
          <w:bCs/>
          <w:sz w:val="28"/>
          <w:szCs w:val="28"/>
          <w:lang w:val="uz-Latn-UZ"/>
        </w:rPr>
        <w:t xml:space="preserve">Keys tahlili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Talaba PPP loyihasida moliyaviy barqarorlik, xizmat sifati, risklar taqsimoti va ijtimoiy foyda birgalikda baholanishi kerakligini koʻrsatishi lozim.</w:t>
      </w:r>
    </w:p>
    <w:p>
      <w:pPr>
        <w:keepNext/>
        <w:spacing w:after="20" w:before="80" w:line="360" w:lineRule="auto"/>
        <w:jc w:val="left"/>
      </w:pPr>
      <w:r>
        <w:rPr>
          <w:rFonts w:ascii="Times New Roman" w:cs="Times New Roman" w:eastAsia="Times New Roman" w:hAnsi="Times New Roman"/>
          <w:b/>
          <w:bCs/>
          <w:sz w:val="28"/>
          <w:szCs w:val="28"/>
          <w:lang w:val="uz-Latn-UZ"/>
        </w:rPr>
        <w:t xml:space="preserve">Talabalarga metodik koʻrsatma:</w:t>
      </w:r>
    </w:p>
    <w:p>
      <w:pPr>
        <w:pStyle w:val="ListParagraph"/>
        <w:numPr>
          <w:ilvl w:val="0"/>
          <w:numId w:val="3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Loyihani faqat foyda bilan emas, xizmat sifati va barqarorlik bilan ham baholang.</w:t>
      </w:r>
    </w:p>
    <w:p>
      <w:pPr>
        <w:pStyle w:val="ListParagraph"/>
        <w:numPr>
          <w:ilvl w:val="0"/>
          <w:numId w:val="3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Risklarni kim boshqarishi mumkin boʻlsa, oʻsha tomonga yuklash tamoyilini qoʻllang.</w:t>
      </w:r>
    </w:p>
    <w:p>
      <w:pPr>
        <w:pStyle w:val="ListParagraph"/>
        <w:numPr>
          <w:ilvl w:val="0"/>
          <w:numId w:val="3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Aholi uchun tarifning ijtimoiy taʼsirini ham izohlang.</w:t>
      </w:r>
    </w:p>
    <w:p>
      <w:pPr>
        <w:pStyle w:val="ListParagraph"/>
        <w:numPr>
          <w:ilvl w:val="0"/>
          <w:numId w:val="3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davlat va investor manfaatlari muvozanatini aks ettirsin.</w:t>
      </w:r>
    </w:p>
    <w:p>
      <w:pPr>
        <w:keepNext/>
        <w:spacing w:after="20" w:before="80" w:line="360" w:lineRule="auto"/>
        <w:jc w:val="left"/>
      </w:pPr>
      <w:r>
        <w:rPr>
          <w:rFonts w:ascii="Times New Roman" w:cs="Times New Roman" w:eastAsia="Times New Roman" w:hAnsi="Times New Roman"/>
          <w:b/>
          <w:bCs/>
          <w:sz w:val="28"/>
          <w:szCs w:val="28"/>
          <w:lang w:val="uz-Latn-UZ"/>
        </w:rPr>
        <w:t xml:space="preserve">Keysni yechish jarayoni:</w:t>
      </w:r>
    </w:p>
    <w:p>
      <w:pPr>
        <w:pStyle w:val="ListParagraph"/>
        <w:numPr>
          <w:ilvl w:val="0"/>
          <w:numId w:val="3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Loyihaning maqsadi va xizmat natijasini aniqlang.</w:t>
      </w:r>
    </w:p>
    <w:p>
      <w:pPr>
        <w:pStyle w:val="ListParagraph"/>
        <w:numPr>
          <w:ilvl w:val="0"/>
          <w:numId w:val="3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Moliyaviy, texnik va talab riski kabi omillarni ajrating.</w:t>
      </w:r>
    </w:p>
    <w:p>
      <w:pPr>
        <w:pStyle w:val="ListParagraph"/>
        <w:numPr>
          <w:ilvl w:val="0"/>
          <w:numId w:val="3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 bir riskni davlat yoki xususiy tomon boshqarish qobiliyatiga qarab taqsimlang.</w:t>
      </w:r>
    </w:p>
    <w:p>
      <w:pPr>
        <w:pStyle w:val="ListParagraph"/>
        <w:numPr>
          <w:ilvl w:val="0"/>
          <w:numId w:val="3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Toʻlov mexanizmi va nazorat indikatorlarini tavsiya qiling.</w:t>
      </w:r>
    </w:p>
    <w:p>
      <w:pPr>
        <w:pStyle w:val="ListParagraph"/>
        <w:numPr>
          <w:ilvl w:val="0"/>
          <w:numId w:val="3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Yakuniy xulosada loyiha amalga oshish shartlarini koʻrsating.</w:t>
      </w:r>
    </w:p>
    <w:p>
      <w:pPr>
        <w:keepNext/>
        <w:spacing w:after="20" w:before="80" w:line="360" w:lineRule="auto"/>
        <w:jc w:val="left"/>
      </w:pPr>
      <w:r>
        <w:rPr>
          <w:rFonts w:ascii="Times New Roman" w:cs="Times New Roman" w:eastAsia="Times New Roman" w:hAnsi="Times New Roman"/>
          <w:b/>
          <w:bCs/>
          <w:sz w:val="28"/>
          <w:szCs w:val="28"/>
          <w:lang w:val="uz-Latn-UZ"/>
        </w:rPr>
        <w:t xml:space="preserve">Oʻqituvchining yechimi:</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PPP loyihani baholashda moliyaviy rentabellik, xizmat sifati, ijtimoiy taʼsir, risklar taqsimoti va shartnoma ijrosini nazorat qilish muhim. Suv tozalash loyihasida qurilish va texnik ekspluatatsiya riski xususiy sherik zimmasiga berilishi, tarif siyosati va ijtimoiy himoya esa davlat tomonidan tartibga solinishi maqsadga muvofiq. Talab riski qisman davlat kafolati yoki minimal toʻlov mexanizmi orqali yumshatilishi mumkin. Toʻlov mexanizmi aholiga qulay tarif, ammo investor uchun qaytarimni taʼminlaydigan aralash model boʻlishi mumkin. Ijtimoiy samara sifatida toza suvga kirish kengayishi, sogʻliq uchun xavflar kamayishi va infratuzilma yoʻqotishlarining qisqarishi baholanadi. Loyiha shaffof shartnoma, aniq sifat indikatorlari va risklarni toʻgʻri taqsimlash mavjud boʻlsa, maqsadga muvofiq hisoblanadi.</w:t>
      </w:r>
    </w:p>
    <w:p>
      <w:pPr>
        <w:keepNext/>
        <w:spacing w:after="100" w:before="240" w:line="360" w:lineRule="auto"/>
        <w:jc w:val="left"/>
      </w:pPr>
      <w:r>
        <w:rPr>
          <w:rFonts w:ascii="Times New Roman" w:cs="Times New Roman" w:eastAsia="Times New Roman" w:hAnsi="Times New Roman"/>
          <w:b/>
          <w:bCs/>
          <w:sz w:val="28"/>
          <w:szCs w:val="28"/>
          <w:lang w:val="uz-Latn-UZ"/>
        </w:rPr>
        <w:t xml:space="preserve">Keys bilan ishlashni baholash mezonlari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561"/>
        <w:gridCol w:w="2432"/>
        <w:gridCol w:w="4864"/>
        <w:gridCol w:w="1497"/>
      </w:tblGrid>
      <w:tr>
        <w:trPr>
          <w:cantSplit/>
          <w:tblHeader/>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w:t>
            </w:r>
          </w:p>
        </w:tc>
        <w:tc>
          <w:tcPr>
            <w:tcW w:type="dxa" w:w="243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Bosqich</w:t>
            </w:r>
          </w:p>
        </w:tc>
        <w:tc>
          <w:tcPr>
            <w:tcW w:type="dxa" w:w="4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Baholash koʻrsatmasi</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Maksimal ball</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w:t>
            </w:r>
          </w:p>
        </w:tc>
        <w:tc>
          <w:tcPr>
            <w:tcW w:type="dxa" w:w="243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Vaziyatni anglash</w:t>
            </w:r>
          </w:p>
        </w:tc>
        <w:tc>
          <w:tcPr>
            <w:tcW w:type="dxa" w:w="4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Talaba keys matnidagi faktlarni ajratadi, ishtirokchilar va cheklovlarni belgilaydi hamda muammoning chegarasini aniq ifodalaydi.</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10</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243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Investitsion muammoni aniqlash</w:t>
            </w:r>
          </w:p>
        </w:tc>
        <w:tc>
          <w:tcPr>
            <w:tcW w:type="dxa" w:w="4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Talaba tahlilning markaziy savolini formulalaydi va qaror qabul qilishga taʼsir qiluvchi asosiy omillarni sanab beradi.</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15</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243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Tahlil va hisob-kitob</w:t>
            </w:r>
          </w:p>
        </w:tc>
        <w:tc>
          <w:tcPr>
            <w:tcW w:type="dxa" w:w="4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Talaba zarur moliyaviy koʻrsatkichlar, risk omillari va samaradorlik mezonlari asosida mantiqiy tahlil olib boradi.</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25</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243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Yechimni asoslash</w:t>
            </w:r>
          </w:p>
        </w:tc>
        <w:tc>
          <w:tcPr>
            <w:tcW w:type="dxa" w:w="4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Talaba bir yoki bir nechta variantni tanlab, ularning afzallik va cheklovlarini dalillar bilan izohlaydi.</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25</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c>
          <w:tcPr>
            <w:tcW w:type="dxa" w:w="243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Taqdimot va himoya</w:t>
            </w:r>
          </w:p>
        </w:tc>
        <w:tc>
          <w:tcPr>
            <w:tcW w:type="dxa" w:w="4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Talaba xulosani aniq, tartibli va savollarga javob bera oladigan shaklda taqdim etadi.</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15</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6</w:t>
            </w:r>
          </w:p>
        </w:tc>
        <w:tc>
          <w:tcPr>
            <w:tcW w:type="dxa" w:w="243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Refleksiya</w:t>
            </w:r>
          </w:p>
        </w:tc>
        <w:tc>
          <w:tcPr>
            <w:tcW w:type="dxa" w:w="486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Talaba tanlangan yechimning amaliy ahamiyati va ehtimoliy xatolarini qisqa tahlil qiladi.</w:t>
            </w:r>
          </w:p>
        </w:tc>
        <w:tc>
          <w:tcPr>
            <w:tcW w:type="dxa" w:w="149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10</w:t>
            </w:r>
          </w:p>
        </w:tc>
      </w:tr>
    </w:tbl>
    <w:p>
      <w:pPr>
        <w:keepNext/>
        <w:spacing w:after="100" w:before="240" w:line="360" w:lineRule="auto"/>
        <w:jc w:val="left"/>
      </w:pPr>
      <w:r>
        <w:rPr>
          <w:rFonts w:ascii="Times New Roman" w:cs="Times New Roman" w:eastAsia="Times New Roman" w:hAnsi="Times New Roman"/>
          <w:b/>
          <w:bCs/>
          <w:sz w:val="28"/>
          <w:szCs w:val="28"/>
          <w:lang w:val="uz-Latn-UZ"/>
        </w:rPr>
        <w:t xml:space="preserve">Baholash mezonlari va koʻrsatkichlari</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2806"/>
        <w:gridCol w:w="1871"/>
        <w:gridCol w:w="4677"/>
      </w:tblGrid>
      <w:tr>
        <w:trPr>
          <w:cantSplit/>
          <w:tblHeader/>
        </w:trPr>
        <w:tc>
          <w:tcPr>
            <w:tcW w:type="dxa" w:w="2806"/>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Ball oraligʻi</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Baho</w:t>
            </w:r>
          </w:p>
        </w:tc>
        <w:tc>
          <w:tcPr>
            <w:tcW w:type="dxa" w:w="467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Daraja</w:t>
            </w:r>
          </w:p>
        </w:tc>
      </w:tr>
      <w:tr>
        <w:trPr>
          <w:cantSplit/>
          <w:tblHeader w:val="false"/>
        </w:trPr>
        <w:tc>
          <w:tcPr>
            <w:tcW w:type="dxa" w:w="2806"/>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86-100</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c>
          <w:tcPr>
            <w:tcW w:type="dxa" w:w="467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aʼlo</w:t>
            </w:r>
          </w:p>
        </w:tc>
      </w:tr>
      <w:tr>
        <w:trPr>
          <w:cantSplit/>
          <w:tblHeader w:val="false"/>
        </w:trPr>
        <w:tc>
          <w:tcPr>
            <w:tcW w:type="dxa" w:w="2806"/>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71-85</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467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yaxshi</w:t>
            </w:r>
          </w:p>
        </w:tc>
      </w:tr>
      <w:tr>
        <w:trPr>
          <w:cantSplit/>
          <w:tblHeader w:val="false"/>
        </w:trPr>
        <w:tc>
          <w:tcPr>
            <w:tcW w:type="dxa" w:w="2806"/>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55-70</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467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qoniqarli</w:t>
            </w:r>
          </w:p>
        </w:tc>
      </w:tr>
      <w:tr>
        <w:trPr>
          <w:cantSplit/>
          <w:tblHeader w:val="false"/>
        </w:trPr>
        <w:tc>
          <w:tcPr>
            <w:tcW w:type="dxa" w:w="2806"/>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0-54</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467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qoniqarsiz</w:t>
            </w:r>
          </w:p>
        </w:tc>
      </w:tr>
    </w:tbl>
    <w:p>
      <w:pPr>
        <w:spacing w:after="20" w:before="20" w:line="360" w:lineRule="auto"/>
        <w:jc w:val="left"/>
      </w:pPr>
      <w:r>
        <w:rPr>
          <w:rFonts w:ascii="Times New Roman" w:cs="Times New Roman" w:eastAsia="Times New Roman" w:hAnsi="Times New Roman"/>
          <w:b/>
          <w:bCs/>
          <w:sz w:val="28"/>
          <w:szCs w:val="28"/>
          <w:lang w:val="uz-Latn-UZ"/>
        </w:rPr>
        <w:t xml:space="preserve">Saralash bali: </w:t>
      </w:r>
      <w:r>
        <w:rPr>
          <w:rFonts w:ascii="Times New Roman" w:cs="Times New Roman" w:eastAsia="Times New Roman" w:hAnsi="Times New Roman"/>
          <w:b w:val="false"/>
          <w:bCs w:val="false"/>
          <w:sz w:val="28"/>
          <w:szCs w:val="28"/>
          <w:lang w:val="uz-Latn-UZ"/>
        </w:rPr>
        <w:t xml:space="preserve">55 ball va undan yuqori.</w:t>
      </w:r>
    </w:p>
    <w:p>
      <w:pPr>
        <w:keepNext/>
        <w:spacing w:after="100" w:before="240" w:line="360" w:lineRule="auto"/>
        <w:jc w:val="left"/>
      </w:pPr>
      <w:r>
        <w:rPr>
          <w:rFonts w:ascii="Times New Roman" w:cs="Times New Roman" w:eastAsia="Times New Roman" w:hAnsi="Times New Roman"/>
          <w:b/>
          <w:bCs/>
          <w:sz w:val="28"/>
          <w:szCs w:val="28"/>
          <w:lang w:val="uz-Latn-UZ"/>
        </w:rPr>
        <w:t xml:space="preserve">Nazorat savollari</w:t>
      </w:r>
    </w:p>
    <w:p>
      <w:pPr>
        <w:pStyle w:val="ListParagraph"/>
        <w:numPr>
          <w:ilvl w:val="0"/>
          <w:numId w:val="3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Keys-stadi metodining asosiy didaktik mohiyati nimada?</w:t>
      </w:r>
    </w:p>
    <w:p>
      <w:pPr>
        <w:pStyle w:val="ListParagraph"/>
        <w:numPr>
          <w:ilvl w:val="0"/>
          <w:numId w:val="3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Keys-stadi qaysi holatlarda anʼanaviy maʼruza usuliga qaraganda samaraliroq boʻladi?</w:t>
      </w:r>
    </w:p>
    <w:p>
      <w:pPr>
        <w:pStyle w:val="ListParagraph"/>
        <w:numPr>
          <w:ilvl w:val="0"/>
          <w:numId w:val="3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Keys ustida ishlashning odatiy bosqichlari qanday ketma-ketlikda amalga oshiriladi?</w:t>
      </w:r>
    </w:p>
    <w:p>
      <w:pPr>
        <w:pStyle w:val="ListParagraph"/>
        <w:numPr>
          <w:ilvl w:val="0"/>
          <w:numId w:val="3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Talabalardan keys yechimida qanday turdagi dalillar keltirilishi talab etiladi?</w:t>
      </w:r>
    </w:p>
    <w:p>
      <w:pPr>
        <w:pStyle w:val="ListParagraph"/>
        <w:numPr>
          <w:ilvl w:val="0"/>
          <w:numId w:val="3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Keys-stadi metodida oʻqituvchining vazifasi nimadan iborat?</w:t>
      </w:r>
    </w:p>
    <w:p>
      <w:pPr>
        <w:pStyle w:val="ListParagraph"/>
        <w:numPr>
          <w:ilvl w:val="0"/>
          <w:numId w:val="3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Keysni muhokama qilishda guruhli ish qanday afzallik beradi?</w:t>
      </w:r>
    </w:p>
    <w:p>
      <w:pPr>
        <w:pStyle w:val="ListParagraph"/>
        <w:numPr>
          <w:ilvl w:val="0"/>
          <w:numId w:val="3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Keys-stadi natijalarini baholashda qanday mezonlardan foydalanish mumkin?</w:t>
      </w:r>
    </w:p>
    <w:p>
      <w:pPr>
        <w:pStyle w:val="ListParagraph"/>
        <w:numPr>
          <w:ilvl w:val="0"/>
          <w:numId w:val="3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Investitsiyalarni tahlil qilish fanida keys metodini qoʻllashning oʻziga xosligi nimada?</w:t>
      </w:r>
    </w:p>
    <w:p>
      <w:pPr>
        <w:pStyle w:val="ListParagraph"/>
        <w:numPr>
          <w:ilvl w:val="0"/>
          <w:numId w:val="3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Keys matnini tayyorlashda qanday didaktik va amaliy talablar inobatga olinadi?</w:t>
      </w:r>
    </w:p>
    <w:p>
      <w:pPr>
        <w:pStyle w:val="ListParagraph"/>
        <w:numPr>
          <w:ilvl w:val="0"/>
          <w:numId w:val="3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Keys muhokamasidan keyin refleksiya nima uchun muhim?</w:t>
      </w:r>
    </w:p>
    <w:p>
      <w:pPr>
        <w:keepNext/>
        <w:spacing w:after="100" w:before="240" w:line="360" w:lineRule="auto"/>
        <w:jc w:val="left"/>
      </w:pPr>
      <w:r>
        <w:rPr>
          <w:rFonts w:ascii="Times New Roman" w:cs="Times New Roman" w:eastAsia="Times New Roman" w:hAnsi="Times New Roman"/>
          <w:b/>
          <w:bCs/>
          <w:sz w:val="28"/>
          <w:szCs w:val="28"/>
          <w:lang w:val="uz-Latn-UZ"/>
        </w:rPr>
        <w:t xml:space="preserve">Foydalanilgan adabiyotlar</w:t>
      </w:r>
    </w:p>
    <w:p>
      <w:pPr>
        <w:pStyle w:val="ListParagraph"/>
        <w:numPr>
          <w:ilvl w:val="0"/>
          <w:numId w:val="3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Robert K. Yin. Case Study Research and Applications: Design and Methods. – SAGE Publications, 2018.</w:t>
      </w:r>
    </w:p>
    <w:p>
      <w:pPr>
        <w:pStyle w:val="ListParagraph"/>
        <w:numPr>
          <w:ilvl w:val="0"/>
          <w:numId w:val="3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 I. Ibragimov, Sh. Sh. Yuldashev. Yangi pedagogik texnologiyalar: nazariya va amaliyot. – Tafakkur, 2008.</w:t>
      </w:r>
    </w:p>
    <w:p>
      <w:pPr>
        <w:pStyle w:val="ListParagraph"/>
        <w:numPr>
          <w:ilvl w:val="0"/>
          <w:numId w:val="3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 V. Vahobov, N. H. Joʻrayev. Investitsiya faoliyati. – Sharq, 2011.</w:t>
      </w:r>
    </w:p>
    <w:p>
      <w:pPr>
        <w:pStyle w:val="ListParagraph"/>
        <w:numPr>
          <w:ilvl w:val="0"/>
          <w:numId w:val="3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Eugene F. Brigham, Michael C. Ehrhardt. Financial Management: Theory and Practice. – Cengage Learning, 2016.</w:t>
      </w:r>
    </w:p>
    <w:p>
      <w:pPr>
        <w:pStyle w:val="ListParagraph"/>
        <w:numPr>
          <w:ilvl w:val="0"/>
          <w:numId w:val="3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Frank K. Reilly, Keith C. Brown. Investment Analysis and Portfolio Management. – Cengage Learning, 2012.</w:t>
      </w:r>
    </w:p>
    <w:sectPr>
      <w:pgSz w:w="11906" w:h="16838" w:orient="portrait"/>
      <w:pgMar w:top="1418" w:right="851" w:bottom="1418"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900" w:hanging="540"/>
      </w:pPr>
      <w:rPr>
        <w:rFonts w:ascii="Times New Roman" w:cs="Times New Roman" w:eastAsia="Times New Roman" w:hAnsi="Times New Roman"/>
        <w:sz w:val="28"/>
        <w:szCs w:val="28"/>
      </w:rPr>
    </w:lvl>
  </w:abstractNum>
  <w:abstractNum w:abstractNumId="3" w15:restartNumberingAfterBreak="0">
    <w:multiLevelType w:val="hybridMultilevel"/>
    <w:lvl w:ilvl="0" w15:tentative="1">
      <w:start w:val="1"/>
      <w:numFmt w:val="bullet"/>
      <w:lvlText w:val="•"/>
      <w:lvlJc w:val="left"/>
      <w:pPr>
        <w:ind w:left="720" w:hanging="360"/>
      </w:pPr>
      <w:rPr>
        <w:rFonts w:ascii="Times New Roman" w:cs="Times New Roman" w:eastAsia="Times New Roman" w:hAnsi="Times New Roman"/>
        <w:sz w:val="28"/>
        <w:szCs w:val="28"/>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autoHyphenation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«Investitsiyalarni tahlil qilish» fanidan keys-stadilar toʻplami</dc:title>
  <dc:creator>Tadqiq.uz</dc:creator>
  <cp:lastModifiedBy>Un-named</cp:lastModifiedBy>
  <cp:revision>1</cp:revision>
  <dcterms:created xsi:type="dcterms:W3CDTF">2026-08-02T04:48:05.688Z</dcterms:created>
  <dcterms:modified xsi:type="dcterms:W3CDTF">2026-08-02T04:48:05.688Z</dcterms:modified>
</cp:coreProperties>
</file>

<file path=docProps/custom.xml><?xml version="1.0" encoding="utf-8"?>
<Properties xmlns="http://schemas.openxmlformats.org/officeDocument/2006/custom-properties" xmlns:vt="http://schemas.openxmlformats.org/officeDocument/2006/docPropsVTypes"/>
</file>