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 w:line="360" w:lineRule="auto"/>
        <w:jc w:val="center"/>
      </w:pPr>
      <w:r>
        <w:rPr>
          <w:rFonts w:ascii="Times New Roman" w:cs="Times New Roman" w:eastAsia="Times New Roman" w:hAnsi="Times New Roman"/>
          <w:b w:val="false"/>
          <w:bCs w:val="false"/>
          <w:sz w:val="28"/>
          <w:szCs w:val="28"/>
          <w:lang w:val="uz-Latn-UZ"/>
        </w:rPr>
        <w:t xml:space="preserve">OʻZBEKISTON RESPUBLIKASI</w:t>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OLIY TAʼLIM, FAN VA INNOVATSIYALAR VAZIRLIGI</w:t>
      </w:r>
    </w:p>
    <w:p>
      <w:pPr>
        <w:spacing w:after="40" w:before="40" w:line="360" w:lineRule="auto"/>
        <w:jc w:val="center"/>
      </w:pPr>
      <w:r>
        <w:rPr>
          <w:rFonts w:ascii="Times New Roman" w:cs="Times New Roman" w:eastAsia="Times New Roman" w:hAnsi="Times New Roman"/>
          <w:b/>
          <w:bCs/>
          <w:sz w:val="28"/>
          <w:szCs w:val="28"/>
          <w:lang w:val="uz-Latn-UZ"/>
        </w:rPr>
        <w:t xml:space="preserve">Toshkent davlat yuridik universiteti</w:t>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Jinoyat-huquqiy fakulteti</w:t>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Jinoyat huquqi va kriminologiya kafedrasi</w:t>
      </w:r>
    </w:p>
    <w:p>
      <w:r>
        <w:t xml:space="preserve"/>
      </w:r>
    </w:p>
    <w:p>
      <w:r>
        <w:t xml:space="preserve"/>
      </w:r>
    </w:p>
    <w:p>
      <w:pPr>
        <w:spacing w:after="40" w:before="40" w:line="360" w:lineRule="auto"/>
        <w:jc w:val="center"/>
      </w:pPr>
      <w:r>
        <w:rPr>
          <w:rFonts w:ascii="Times New Roman" w:cs="Times New Roman" w:eastAsia="Times New Roman" w:hAnsi="Times New Roman"/>
          <w:b/>
          <w:bCs/>
          <w:sz w:val="30"/>
          <w:szCs w:val="30"/>
          <w:lang w:val="uz-Latn-UZ"/>
        </w:rPr>
        <w:t xml:space="preserve">JINOYAT HUQUQI</w:t>
      </w:r>
    </w:p>
    <w:p>
      <w:pPr>
        <w:spacing w:after="40" w:before="40" w:line="360" w:lineRule="auto"/>
        <w:jc w:val="center"/>
      </w:pPr>
      <w:r>
        <w:rPr>
          <w:rFonts w:ascii="Times New Roman" w:cs="Times New Roman" w:eastAsia="Times New Roman" w:hAnsi="Times New Roman"/>
          <w:b/>
          <w:bCs/>
          <w:sz w:val="30"/>
          <w:szCs w:val="30"/>
          <w:lang w:val="uz-Latn-UZ"/>
        </w:rPr>
        <w:t xml:space="preserve">TARQATMA MATERIALLAR</w:t>
      </w:r>
    </w:p>
    <w:p>
      <w:r>
        <w:t xml:space="preserve"/>
      </w:r>
    </w:p>
    <w:p>
      <w:r>
        <w:t xml:space="preserve"/>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Tuzuvchi: </w:t>
      </w:r>
      <w:r>
        <w:rPr>
          <w:rFonts w:ascii="Times New Roman" w:cs="Times New Roman" w:eastAsia="Times New Roman" w:hAnsi="Times New Roman"/>
          <w:b w:val="false"/>
          <w:bCs w:val="false"/>
          <w:sz w:val="28"/>
          <w:szCs w:val="28"/>
          <w:lang w:val="uz-Latn-UZ"/>
        </w:rPr>
        <w:t xml:space="preserve">Toshmatov Alisher Hamidovich, yuridik fanlar nomzodi, dotsent</w:t>
      </w:r>
    </w:p>
    <w:p>
      <w:r>
        <w:t xml:space="preserve"/>
      </w:r>
    </w:p>
    <w:p>
      <w:r>
        <w:t xml:space="preserve"/>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Toshkent - 2025-yil</w:t>
      </w:r>
    </w:p>
    <w:p>
      <w:pPr>
        <w:keepNext/>
        <w:pageBreakBefore/>
        <w:spacing w:after="100" w:before="240" w:line="360" w:lineRule="auto"/>
        <w:jc w:val="left"/>
      </w:pPr>
      <w:r>
        <w:rPr>
          <w:rFonts w:ascii="Times New Roman" w:cs="Times New Roman" w:eastAsia="Times New Roman" w:hAnsi="Times New Roman"/>
          <w:b/>
          <w:bCs/>
          <w:sz w:val="28"/>
          <w:szCs w:val="28"/>
          <w:lang w:val="uz-Latn-UZ"/>
        </w:rPr>
        <w:t xml:space="preserve">Tarqatma materiallar</w:t>
      </w:r>
    </w:p>
    <w:p>
      <w:pPr>
        <w:keepNext/>
        <w:spacing w:after="100" w:before="240" w:line="360" w:lineRule="auto"/>
        <w:jc w:val="left"/>
      </w:pPr>
      <w:r>
        <w:rPr>
          <w:rFonts w:ascii="Times New Roman" w:cs="Times New Roman" w:eastAsia="Times New Roman" w:hAnsi="Times New Roman"/>
          <w:b/>
          <w:bCs/>
          <w:sz w:val="28"/>
          <w:szCs w:val="28"/>
          <w:lang w:val="uz-Latn-UZ"/>
        </w:rPr>
        <w:t xml:space="preserve">1-mavzu</w:t>
      </w:r>
    </w:p>
    <w:p>
      <w:pPr>
        <w:keepNext/>
        <w:spacing w:after="20" w:before="80" w:line="360" w:lineRule="auto"/>
        <w:jc w:val="left"/>
      </w:pPr>
      <w:r>
        <w:rPr>
          <w:rFonts w:ascii="Times New Roman" w:cs="Times New Roman" w:eastAsia="Times New Roman" w:hAnsi="Times New Roman"/>
          <w:b/>
          <w:bCs/>
          <w:sz w:val="28"/>
          <w:szCs w:val="28"/>
          <w:lang w:val="uz-Latn-UZ"/>
        </w:rPr>
        <w:t xml:space="preserve">Jinoyat huquqi tushunchasi, vazifalari va prinsiplari</w:t>
      </w:r>
    </w:p>
    <w:p>
      <w:pPr>
        <w:keepNext/>
        <w:spacing w:after="20" w:before="80" w:line="360" w:lineRule="auto"/>
        <w:jc w:val="left"/>
      </w:pPr>
      <w:r>
        <w:rPr>
          <w:rFonts w:ascii="Times New Roman" w:cs="Times New Roman" w:eastAsia="Times New Roman" w:hAnsi="Times New Roman"/>
          <w:b/>
          <w:bCs/>
          <w:sz w:val="28"/>
          <w:szCs w:val="28"/>
          <w:lang w:val="uz-Latn-UZ"/>
        </w:rPr>
        <w:t xml:space="preserve">Vaziyatni oʻqib chiqing va savollarga javob bering.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2025 yil 14 mart kuni Toshkent shahar Shayxontohur tumanida yashovchi 28 yoshli Murodjon Q. kechki soat 21:30 da qoʻshnisi Dilnoza S.ning uy eshigiga bir necha bor tegishli ruxsatsiz kirishga uringan. U eshik oldida turgan holatda «meni ichkariga qoʻyishsin, gapim bor» deb baland ovozda janjal chiqargan va uy oldidagi tinchlikni buzgan. 15 mart kuni uchastka inspektori holat yuzasidan tushuntirish xati rasmiylashtirgan. Dilnoza S. Murodjon Q.ning xatti-harakatlari bilan oila aʼzolari qoʻrqib qolganini maʼlum qilgan. Mazkur vaziyatda qaysi huquqiy munosabatlar va qoidalar masalasi yuzaga kelgan?</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Mazkur holatda qaysi ijtimoiy munosabatlarga zarar yetgan deb baholash mumkin?</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Jinoyat huquqining qoʻriqlovchi va ogohlantiruvchi vazifalari bu vaziyatda qanday namoyon boʻladi?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Qonuniylik, adolat va insonparvarlik prinsiplari mazkur vaziyatni baholashda qanday ahamiyatga ega?</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Shaxsni javobgarlikka tortishda jinoyat huquqining umumiy va maxsus qismi qanday qoʻllanadi?</w:t>
      </w:r>
    </w:p>
    <w:p>
      <w:pPr>
        <w:keepNext/>
        <w:spacing w:after="100" w:before="240" w:line="360" w:lineRule="auto"/>
        <w:jc w:val="left"/>
      </w:pPr>
      <w:r>
        <w:rPr>
          <w:rFonts w:ascii="Times New Roman" w:cs="Times New Roman" w:eastAsia="Times New Roman" w:hAnsi="Times New Roman"/>
          <w:b/>
          <w:bCs/>
          <w:sz w:val="28"/>
          <w:szCs w:val="28"/>
          <w:lang w:val="uz-Latn-UZ"/>
        </w:rPr>
        <w:t xml:space="preserve">2-mavzu</w:t>
      </w:r>
    </w:p>
    <w:p>
      <w:pPr>
        <w:keepNext/>
        <w:spacing w:after="20" w:before="80" w:line="360" w:lineRule="auto"/>
        <w:jc w:val="left"/>
      </w:pPr>
      <w:r>
        <w:rPr>
          <w:rFonts w:ascii="Times New Roman" w:cs="Times New Roman" w:eastAsia="Times New Roman" w:hAnsi="Times New Roman"/>
          <w:b/>
          <w:bCs/>
          <w:sz w:val="28"/>
          <w:szCs w:val="28"/>
          <w:lang w:val="uz-Latn-UZ"/>
        </w:rPr>
        <w:t xml:space="preserve">Jinoyat qonuni va uning amal qilishi</w:t>
      </w:r>
    </w:p>
    <w:p>
      <w:pPr>
        <w:keepNext/>
        <w:spacing w:after="20" w:before="80" w:line="360" w:lineRule="auto"/>
        <w:jc w:val="left"/>
      </w:pPr>
      <w:r>
        <w:rPr>
          <w:rFonts w:ascii="Times New Roman" w:cs="Times New Roman" w:eastAsia="Times New Roman" w:hAnsi="Times New Roman"/>
          <w:b/>
          <w:bCs/>
          <w:sz w:val="28"/>
          <w:szCs w:val="28"/>
          <w:lang w:val="uz-Latn-UZ"/>
        </w:rPr>
        <w:t xml:space="preserve">Quyidagilarni aniqlash talab qilinadi: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2025 yil 2 fevral kuni Samarqand shahridagi «Navbahor» savdo markazida 34 yoshli Jahongir T. xizmat telefoni orqali tovarlarni noqonuniy qayta sotish haqidagi kelishuvni yozib olgan. Tekshiruv materiallarida u 2024 yil dekabr oyida ham xuddi shu yoʻl bilan harakat qilgani koʻrsatilgan. 2025 yil 5 fevralda tergovchi unga nisbatan protsessual qaror chiqargan. Shu paytda tegishli normaning 2024 yil 1 iyuldagi tahriri kuchda boʻlib, 2025 yil 1 yanvardan yangi tahrir amalda boʻlishi belgilangan edi. Jahongir T. Oʻzbekiston fuqarosi, uning sherigi esa Qozogʻiston fuqarosi boʻlib, ular birgalikda ish yuritgan.</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Mazkur voqeada jinoyat qonunining hudud boʻyicha amal qilish qoidasi qanday qoʻllanadi?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Vaqt boʻyicha amal qilishda 2024 yil 1 iyuldagi va 2025 yil 1 yanvardagi tahrirlar oʻrtasidagi farq qanday baholanadi?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Agar yangi qonun shaxs ahvolini yengillashtirsa, u ushbu vaziyatda qoʻllanadimi?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Chet el fuqarosi ishtirok etgan taqdirda, jinoyat qonunining shaxslar boʻyicha amal qilish doirasi qanday belgilanadi?</w:t>
      </w:r>
    </w:p>
    <w:p>
      <w:pPr>
        <w:keepNext/>
        <w:spacing w:after="100" w:before="240" w:line="360" w:lineRule="auto"/>
        <w:jc w:val="left"/>
      </w:pPr>
      <w:r>
        <w:rPr>
          <w:rFonts w:ascii="Times New Roman" w:cs="Times New Roman" w:eastAsia="Times New Roman" w:hAnsi="Times New Roman"/>
          <w:b/>
          <w:bCs/>
          <w:sz w:val="28"/>
          <w:szCs w:val="28"/>
          <w:lang w:val="uz-Latn-UZ"/>
        </w:rPr>
        <w:t xml:space="preserve">3-mavzu</w:t>
      </w:r>
    </w:p>
    <w:p>
      <w:pPr>
        <w:keepNext/>
        <w:spacing w:after="20" w:before="80" w:line="360" w:lineRule="auto"/>
        <w:jc w:val="left"/>
      </w:pPr>
      <w:r>
        <w:rPr>
          <w:rFonts w:ascii="Times New Roman" w:cs="Times New Roman" w:eastAsia="Times New Roman" w:hAnsi="Times New Roman"/>
          <w:b/>
          <w:bCs/>
          <w:sz w:val="28"/>
          <w:szCs w:val="28"/>
          <w:lang w:val="uz-Latn-UZ"/>
        </w:rPr>
        <w:t xml:space="preserve">Jinoyat tarkibi tushunchasi</w:t>
      </w:r>
    </w:p>
    <w:p>
      <w:pPr>
        <w:keepNext/>
        <w:spacing w:after="20" w:before="80" w:line="360" w:lineRule="auto"/>
        <w:jc w:val="left"/>
      </w:pPr>
      <w:r>
        <w:rPr>
          <w:rFonts w:ascii="Times New Roman" w:cs="Times New Roman" w:eastAsia="Times New Roman" w:hAnsi="Times New Roman"/>
          <w:b/>
          <w:bCs/>
          <w:sz w:val="28"/>
          <w:szCs w:val="28"/>
          <w:lang w:val="uz-Latn-UZ"/>
        </w:rPr>
        <w:t xml:space="preserve">Vaziyatni oʻqib chiqing va savollarga javob bering.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2025 yil 18 aprel kuni Buxoro viloyati Kogon shahrida 19 yoshli Sardor M. 17 yoshli ukasi bilan birga omborxonaga kirib, 12 dona akkumulyatorni olib chiqqan. Ombor egasi Dilorom A. 19 aprel kuni inventarizatsiyada 18 600 000 soʻm zarar aniqlanganini bildirgan. Sardor M. soʻroq paytida «faqat qarzlarimni yopmoqchi edim» degan, lekin ombordagi kameralar uning kalit tanlash orqali eshikni ochganini qayd etgan. Tibbiy maʼlumotda u ruhiy kasallik hisobida turmasligi koʻrsatilgan. Himoya tarafi uning harakati rejasiz boʻlganini taʼkidlamoqda.</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Mazkur holatda jinoyat tarkibining qaysi elementlari mavjudligini aniqlang?</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Subyektning yoshi va aqli raso holati jinoyat tarkibi uchun nega muhim?</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Agar harakat oqibatga olib kelmagan boʻlsa, tarkib toʻliq deb baholanishi mumkinmi?</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Subyektiv tomonning ayb shakli bu vaziyatda qanday aniqlanadi?</w:t>
      </w:r>
    </w:p>
    <w:p>
      <w:pPr>
        <w:keepNext/>
        <w:spacing w:after="100" w:before="240" w:line="360" w:lineRule="auto"/>
        <w:jc w:val="left"/>
      </w:pPr>
      <w:r>
        <w:rPr>
          <w:rFonts w:ascii="Times New Roman" w:cs="Times New Roman" w:eastAsia="Times New Roman" w:hAnsi="Times New Roman"/>
          <w:b/>
          <w:bCs/>
          <w:sz w:val="28"/>
          <w:szCs w:val="28"/>
          <w:lang w:val="uz-Latn-UZ"/>
        </w:rPr>
        <w:t xml:space="preserve">4-mavzu</w:t>
      </w:r>
    </w:p>
    <w:p>
      <w:pPr>
        <w:keepNext/>
        <w:spacing w:after="20" w:before="80" w:line="360" w:lineRule="auto"/>
        <w:jc w:val="left"/>
      </w:pPr>
      <w:r>
        <w:rPr>
          <w:rFonts w:ascii="Times New Roman" w:cs="Times New Roman" w:eastAsia="Times New Roman" w:hAnsi="Times New Roman"/>
          <w:b/>
          <w:bCs/>
          <w:sz w:val="28"/>
          <w:szCs w:val="28"/>
          <w:lang w:val="uz-Latn-UZ"/>
        </w:rPr>
        <w:t xml:space="preserve">Jinoyat obyekti va obyektiv tomoni</w:t>
      </w:r>
    </w:p>
    <w:p>
      <w:pPr>
        <w:keepNext/>
        <w:spacing w:after="20" w:before="80" w:line="360" w:lineRule="auto"/>
        <w:jc w:val="left"/>
      </w:pPr>
      <w:r>
        <w:rPr>
          <w:rFonts w:ascii="Times New Roman" w:cs="Times New Roman" w:eastAsia="Times New Roman" w:hAnsi="Times New Roman"/>
          <w:b/>
          <w:bCs/>
          <w:sz w:val="28"/>
          <w:szCs w:val="28"/>
          <w:lang w:val="uz-Latn-UZ"/>
        </w:rPr>
        <w:t xml:space="preserve">Quyidagilarni aniqlash talab qilinadi: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2025 yil 9 may kuni Namangan shahrida 41 yoshli Akmal R. oʻziga tegishli yuk mashinasini kechasi soat 02:10 da qoʻshni koʻchaning trotuariga notoʻgʻri qoʻygan. Mashina yonida turgan generator shovqini sabab 10 ta xonadon aholisi uygʻonib, ikki nafar fuqaro bosh ogʻrigʻi bilan shifoxonaga murojaat qilgan. 10 may kuni mahalla faollari video yozuvlarni ichki ishlar boʻlimiga topshirgan. Tekshiruvda Akmal R. 2025 yil 8 may kuni mahsulot tashishdan qaytib, mashinani ataylab yoʻl chetida qoldirgani aniqlangan. Shu voqea yuzasidan muhofaza qilinayotgan ijtimoiy munosabatlar va zararli oqibatlar masalasi koʻtarilgan.</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Mazkur holatda jinoyatning bevosita obyekti nimadan iborat?</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Obyektiv tomonni tashkil etuvchi harakat yoki harakatsizlik qaysi faktlarda koʻrinadi?</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Sababiy bogʻlanish va zararli oqibat oʻrtasidagi munosabat qanday aniqlanadi?</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Vaqt, usul, vosita va sharoit obyektiv tomon bahosiga qanday taʼsir qiladi?</w:t>
      </w:r>
    </w:p>
    <w:p>
      <w:pPr>
        <w:keepNext/>
        <w:spacing w:after="100" w:before="240" w:line="360" w:lineRule="auto"/>
        <w:jc w:val="left"/>
      </w:pPr>
      <w:r>
        <w:rPr>
          <w:rFonts w:ascii="Times New Roman" w:cs="Times New Roman" w:eastAsia="Times New Roman" w:hAnsi="Times New Roman"/>
          <w:b/>
          <w:bCs/>
          <w:sz w:val="28"/>
          <w:szCs w:val="28"/>
          <w:lang w:val="uz-Latn-UZ"/>
        </w:rPr>
        <w:t xml:space="preserve">5-mavzu</w:t>
      </w:r>
    </w:p>
    <w:p>
      <w:pPr>
        <w:keepNext/>
        <w:spacing w:after="20" w:before="80" w:line="360" w:lineRule="auto"/>
        <w:jc w:val="left"/>
      </w:pPr>
      <w:r>
        <w:rPr>
          <w:rFonts w:ascii="Times New Roman" w:cs="Times New Roman" w:eastAsia="Times New Roman" w:hAnsi="Times New Roman"/>
          <w:b/>
          <w:bCs/>
          <w:sz w:val="28"/>
          <w:szCs w:val="28"/>
          <w:lang w:val="uz-Latn-UZ"/>
        </w:rPr>
        <w:t xml:space="preserve">Jinoyat subyekti va subyektiv tomoni</w:t>
      </w:r>
    </w:p>
    <w:p>
      <w:pPr>
        <w:keepNext/>
        <w:spacing w:after="20" w:before="80" w:line="360" w:lineRule="auto"/>
        <w:jc w:val="left"/>
      </w:pPr>
      <w:r>
        <w:rPr>
          <w:rFonts w:ascii="Times New Roman" w:cs="Times New Roman" w:eastAsia="Times New Roman" w:hAnsi="Times New Roman"/>
          <w:b/>
          <w:bCs/>
          <w:sz w:val="28"/>
          <w:szCs w:val="28"/>
          <w:lang w:val="uz-Latn-UZ"/>
        </w:rPr>
        <w:t xml:space="preserve">Vaziyatni oʻqib chiqing va savollarga javob bering.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2024-yil 18-mart kuni Toshkent shahrining Chilonzor tumanida 2006-yilda tugʻilgan Bekzod Qodirov 17-sonli doʻkon oldida telefonini olib qoʻygan 19 yoshli Dilnoza Karimovani itarib yuborib, uning sumkasini tortib olgan. Hodisadan keyin Bekzod telefonni 2 300 000 soʻmga sotmoqchi boʻlganini aytgan, ammo tergovda u voqeani «hazil» deb atagan. Tibbiy maʼlumotga koʻra, u ruhiy kasallik hisobida turmaydi va hodisa vaqtida mast boʻlmagan. Holat yuzasidan 2024-yil 20-mart kuni Jinoyat kodeksining tegishli moddalari boʻyicha tekshiruv boshlangan.</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Bekzod Qodirovning shaxs sifatida jinoyat subyekti ekanligini qanday belgilar asosida baholaysiz?</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Uning harakatida aybning qaysi turi va shakli mavjudligini aniqlang?</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Bekzodning niyati, motivi va maqsadi jinoyat tarkibiga qanday taʼsir qiladi?</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Agar u voqea paytida 16 yoshda boʻlgan boʻlsa, huquqiy baho qanday oʻzgaradi?</w:t>
      </w:r>
    </w:p>
    <w:p>
      <w:pPr>
        <w:keepNext/>
        <w:spacing w:after="100" w:before="240" w:line="360" w:lineRule="auto"/>
        <w:jc w:val="left"/>
      </w:pPr>
      <w:r>
        <w:rPr>
          <w:rFonts w:ascii="Times New Roman" w:cs="Times New Roman" w:eastAsia="Times New Roman" w:hAnsi="Times New Roman"/>
          <w:b/>
          <w:bCs/>
          <w:sz w:val="28"/>
          <w:szCs w:val="28"/>
          <w:lang w:val="uz-Latn-UZ"/>
        </w:rPr>
        <w:t xml:space="preserve">6-mavzu</w:t>
      </w:r>
    </w:p>
    <w:p>
      <w:pPr>
        <w:keepNext/>
        <w:spacing w:after="20" w:before="80" w:line="360" w:lineRule="auto"/>
        <w:jc w:val="left"/>
      </w:pPr>
      <w:r>
        <w:rPr>
          <w:rFonts w:ascii="Times New Roman" w:cs="Times New Roman" w:eastAsia="Times New Roman" w:hAnsi="Times New Roman"/>
          <w:b/>
          <w:bCs/>
          <w:sz w:val="28"/>
          <w:szCs w:val="28"/>
          <w:lang w:val="uz-Latn-UZ"/>
        </w:rPr>
        <w:t xml:space="preserve">Jinoyat turlari va bosqichlari</w:t>
      </w:r>
    </w:p>
    <w:p>
      <w:pPr>
        <w:keepNext/>
        <w:spacing w:after="20" w:before="80" w:line="360" w:lineRule="auto"/>
        <w:jc w:val="left"/>
      </w:pPr>
      <w:r>
        <w:rPr>
          <w:rFonts w:ascii="Times New Roman" w:cs="Times New Roman" w:eastAsia="Times New Roman" w:hAnsi="Times New Roman"/>
          <w:b/>
          <w:bCs/>
          <w:sz w:val="28"/>
          <w:szCs w:val="28"/>
          <w:lang w:val="uz-Latn-UZ"/>
        </w:rPr>
        <w:t xml:space="preserve">Quyidagilarni aniqlash talab qilinadi: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2024-yil 12-iyun kuni Samarqand shahri, Rudakiy koʻchasidagi 14-uyning 3-qavatida yashovchi Azizbek Sattorov qoʻshnisining kvartirasiga kirish uchun qulfni ochuvchi moslama sotib olgan. U 2024-yil 14-iyun kuni kechasi eshik tutqichini buzishga uringan, ammo qoʻshni kelib qolib, u qochib ketgan. Tekshiruvda Azizbek telefonida «faqat ichkariga kirib, kompyuterni olib chiqaman» degan xabarlar topilgan. Eshikka yetkazilgan zarar 850 000 soʻmga baholangan, biroq mol-mulk oʻgʻirlanmagan. Hodisa boʻyicha 2024-yil 15-iyun kuni bayonnoma rasmiylashtirilgan.</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Azizbek Sattorovning harakatida qaysi turdagi jinoyat tarkibi yuzaga kelganini aniqlang?</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Bu holatda jinoyat qaysi bosqichda toʻxtatilgan deb baholaysiz?</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Tugallangan jinoyat bilan suiqasd oʻrtasidagi farqni shu vaziyat asosida izohlang?</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Jinoyatga tayyorgarlik bosqichi mavjudligini qanday dalillar bilan tekshirasiz?</w:t>
      </w:r>
    </w:p>
    <w:p>
      <w:pPr>
        <w:keepNext/>
        <w:spacing w:after="100" w:before="240" w:line="360" w:lineRule="auto"/>
        <w:jc w:val="left"/>
      </w:pPr>
      <w:r>
        <w:rPr>
          <w:rFonts w:ascii="Times New Roman" w:cs="Times New Roman" w:eastAsia="Times New Roman" w:hAnsi="Times New Roman"/>
          <w:b/>
          <w:bCs/>
          <w:sz w:val="28"/>
          <w:szCs w:val="28"/>
          <w:lang w:val="uz-Latn-UZ"/>
        </w:rPr>
        <w:t xml:space="preserve">7-mavzu</w:t>
      </w:r>
    </w:p>
    <w:p>
      <w:pPr>
        <w:keepNext/>
        <w:spacing w:after="20" w:before="80" w:line="360" w:lineRule="auto"/>
        <w:jc w:val="left"/>
      </w:pPr>
      <w:r>
        <w:rPr>
          <w:rFonts w:ascii="Times New Roman" w:cs="Times New Roman" w:eastAsia="Times New Roman" w:hAnsi="Times New Roman"/>
          <w:b/>
          <w:bCs/>
          <w:sz w:val="28"/>
          <w:szCs w:val="28"/>
          <w:lang w:val="uz-Latn-UZ"/>
        </w:rPr>
        <w:t xml:space="preserve">Jazo tushunchasi, maqsadi va turlari</w:t>
      </w:r>
    </w:p>
    <w:p>
      <w:pPr>
        <w:keepNext/>
        <w:spacing w:after="20" w:before="80" w:line="360" w:lineRule="auto"/>
        <w:jc w:val="left"/>
      </w:pPr>
      <w:r>
        <w:rPr>
          <w:rFonts w:ascii="Times New Roman" w:cs="Times New Roman" w:eastAsia="Times New Roman" w:hAnsi="Times New Roman"/>
          <w:b/>
          <w:bCs/>
          <w:sz w:val="28"/>
          <w:szCs w:val="28"/>
          <w:lang w:val="uz-Latn-UZ"/>
        </w:rPr>
        <w:t xml:space="preserve">Vaziyatni oʻqib chiqing va savollarga javob bering.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2023-yil 7-noyabr kuni Namangan viloyati, Yangiqoʻrgʻon tuman sudi 1998-yilda tugʻilgan Sherzod Ismoilovga nisbatan chiqarilgan ishni koʻrdi. U 2023-yil 2-avgust kuni savdo markazidagi kassadan 4 700 000 soʻmni yashirin ravishda olganlikda aybli deb topilgan. Tergovda Sherzod ilgari maʼmuriy javobgarlikka tortilgani, ammo zarar toʻliq qoplanmagani aniqlandi. Sud majlisida u voyaga yetmagan farzandi borligini va doimiy ish joyi yoʻqligini aytgan. Prokuror unga nisbatan ozodlikdan mahrum qilish bilan bogʻliq boʻlmagan jazo qoʻllashni soʻragan.</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Sud tomonidan tayinlangan jazoning tushunchasi va huquqiy mohiyatini qanday izohlaysiz?</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Bu vaziyatda jazoning qaysi maqsadlari ustuvor ekanini koʻrsating?</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Maqsadga mos ravishda qanday jazo turlarini qoʻllash mumkinligini tahlil qiling?</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Jazoning adolat va individualizatsiya tamoyillari ushbu ishda qanday aks etadi?</w:t>
      </w:r>
    </w:p>
    <w:p>
      <w:pPr>
        <w:keepNext/>
        <w:spacing w:after="100" w:before="240" w:line="360" w:lineRule="auto"/>
        <w:jc w:val="left"/>
      </w:pPr>
      <w:r>
        <w:rPr>
          <w:rFonts w:ascii="Times New Roman" w:cs="Times New Roman" w:eastAsia="Times New Roman" w:hAnsi="Times New Roman"/>
          <w:b/>
          <w:bCs/>
          <w:sz w:val="28"/>
          <w:szCs w:val="28"/>
          <w:lang w:val="uz-Latn-UZ"/>
        </w:rPr>
        <w:t xml:space="preserve">8-mavzu</w:t>
      </w:r>
    </w:p>
    <w:p>
      <w:pPr>
        <w:keepNext/>
        <w:spacing w:after="20" w:before="80" w:line="360" w:lineRule="auto"/>
        <w:jc w:val="left"/>
      </w:pPr>
      <w:r>
        <w:rPr>
          <w:rFonts w:ascii="Times New Roman" w:cs="Times New Roman" w:eastAsia="Times New Roman" w:hAnsi="Times New Roman"/>
          <w:b/>
          <w:bCs/>
          <w:sz w:val="28"/>
          <w:szCs w:val="28"/>
          <w:lang w:val="uz-Latn-UZ"/>
        </w:rPr>
        <w:t xml:space="preserve">Jinoiy javobgarlikdan va jazodan ozod qilish asoslari</w:t>
      </w:r>
    </w:p>
    <w:p>
      <w:pPr>
        <w:keepNext/>
        <w:spacing w:after="20" w:before="80" w:line="360" w:lineRule="auto"/>
        <w:jc w:val="left"/>
      </w:pPr>
      <w:r>
        <w:rPr>
          <w:rFonts w:ascii="Times New Roman" w:cs="Times New Roman" w:eastAsia="Times New Roman" w:hAnsi="Times New Roman"/>
          <w:b/>
          <w:bCs/>
          <w:sz w:val="28"/>
          <w:szCs w:val="28"/>
          <w:lang w:val="uz-Latn-UZ"/>
        </w:rPr>
        <w:t xml:space="preserve">Quyidagilarni aniqlash talab qilinadi: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2024-yil 25-aprel kuni Buxoro viloyati, Gʻijduvon tumanidagi 2-son mahallada yashovchi Malika Toʻxtayeva 2022-yil 19-dekabr kuni sodir etilgan kichik miqdordagi mulkiy zarar boʻyicha qayta koʻrib chiqish iltimosi bilan murojaat qildi. U zarar summasini 1 200 000 soʻm qilib toʻliq qoplagan, jabrlanuvchi Sardor Olimov yozma ravishda shikoyati yoʻqligini bildirgan. Malika birinchi marta javobgarlikka tortilayotganini, 2024-yil 10-aprelda esa homiladorligi sababli tibbiy maʼlumotnoma taqdim etganini aytgan. Tergovchi ishda ijtimoiy xavflilik darajasi kamayganini qayd etgan, biroq qaror qabul qilinmagan.</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Mazkur ishda jinoiy javobgarlikdan ozod qilish uchun qanday asoslar mavjud yoki mavjud emas?</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Jazodan ozod qilishga olib kelishi mumkin boʻlgan holatlarni qaysi mezonlar bilan baholaysiz?</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Shaxsning pushaymonligi va zararni qoplash holati huquqiy oqibatlarga qanday taʼsir qiladi?</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Amnistiya, yarashuv yoki muddat oʻtishi kabi institutlardan qaysi biri qoʻllanishi mumkinligini asoslang?</w:t>
      </w:r>
    </w:p>
    <w:p>
      <w:pPr>
        <w:keepNext/>
        <w:spacing w:after="100" w:before="240" w:line="360" w:lineRule="auto"/>
        <w:jc w:val="left"/>
      </w:pPr>
      <w:r>
        <w:rPr>
          <w:rFonts w:ascii="Times New Roman" w:cs="Times New Roman" w:eastAsia="Times New Roman" w:hAnsi="Times New Roman"/>
          <w:b/>
          <w:bCs/>
          <w:sz w:val="28"/>
          <w:szCs w:val="28"/>
          <w:lang w:val="uz-Latn-UZ"/>
        </w:rPr>
        <w:t xml:space="preserve">Baholash mezoni</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748"/>
        <w:gridCol w:w="6735"/>
        <w:gridCol w:w="1871"/>
      </w:tblGrid>
      <w:tr>
        <w:trPr>
          <w:cantSplit/>
          <w:tblHeader/>
        </w:trPr>
        <w:tc>
          <w:tcPr>
            <w:tcW w:type="dxa" w:w="74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w:t>
            </w:r>
          </w:p>
        </w:tc>
        <w:tc>
          <w:tcPr>
            <w:tcW w:type="dxa" w:w="673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Baholash mezoni</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Maksimal ball</w:t>
            </w:r>
          </w:p>
        </w:tc>
      </w:tr>
      <w:tr>
        <w:trPr>
          <w:cantSplit/>
          <w:tblHeader w:val="false"/>
        </w:trPr>
        <w:tc>
          <w:tcPr>
            <w:tcW w:type="dxa" w:w="74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w:t>
            </w:r>
          </w:p>
        </w:tc>
        <w:tc>
          <w:tcPr>
            <w:tcW w:type="dxa" w:w="673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Nazariy bilim darajasi</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5</w:t>
            </w:r>
          </w:p>
        </w:tc>
      </w:tr>
      <w:tr>
        <w:trPr>
          <w:cantSplit/>
          <w:tblHeader w:val="false"/>
        </w:trPr>
        <w:tc>
          <w:tcPr>
            <w:tcW w:type="dxa" w:w="74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w:t>
            </w:r>
          </w:p>
        </w:tc>
        <w:tc>
          <w:tcPr>
            <w:tcW w:type="dxa" w:w="673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Huquqiy tahlil koʻnikmasi</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5</w:t>
            </w:r>
          </w:p>
        </w:tc>
      </w:tr>
      <w:tr>
        <w:trPr>
          <w:cantSplit/>
          <w:tblHeader w:val="false"/>
        </w:trPr>
        <w:tc>
          <w:tcPr>
            <w:tcW w:type="dxa" w:w="74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3</w:t>
            </w:r>
          </w:p>
        </w:tc>
        <w:tc>
          <w:tcPr>
            <w:tcW w:type="dxa" w:w="673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Normativ-huquqiy manbalar bilan ishlash</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5</w:t>
            </w:r>
          </w:p>
        </w:tc>
      </w:tr>
      <w:tr>
        <w:trPr>
          <w:cantSplit/>
          <w:tblHeader w:val="false"/>
        </w:trPr>
        <w:tc>
          <w:tcPr>
            <w:tcW w:type="dxa" w:w="74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4</w:t>
            </w:r>
          </w:p>
        </w:tc>
        <w:tc>
          <w:tcPr>
            <w:tcW w:type="dxa" w:w="673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Mantiqiy izchillik</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5</w:t>
            </w:r>
          </w:p>
        </w:tc>
      </w:tr>
      <w:tr>
        <w:trPr>
          <w:cantSplit/>
          <w:tblHeader w:val="false"/>
        </w:trPr>
        <w:tc>
          <w:tcPr>
            <w:tcW w:type="dxa" w:w="74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5</w:t>
            </w:r>
          </w:p>
        </w:tc>
        <w:tc>
          <w:tcPr>
            <w:tcW w:type="dxa" w:w="673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Terminlardan toʻgʻri foydalanish</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5</w:t>
            </w:r>
          </w:p>
        </w:tc>
      </w:tr>
    </w:tbl>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22-25 ball — aʼlo</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17-21 ball — yaxshi</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10-16 ball — qoniqarli</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0-9 ball — qoniqarsiz</w:t>
      </w:r>
    </w:p>
    <w:p>
      <w:pPr>
        <w:keepNext/>
        <w:spacing w:after="100" w:before="240" w:line="360" w:lineRule="auto"/>
        <w:jc w:val="left"/>
      </w:pPr>
      <w:r>
        <w:rPr>
          <w:rFonts w:ascii="Times New Roman" w:cs="Times New Roman" w:eastAsia="Times New Roman" w:hAnsi="Times New Roman"/>
          <w:b/>
          <w:bCs/>
          <w:sz w:val="28"/>
          <w:szCs w:val="28"/>
          <w:lang w:val="uz-Latn-UZ"/>
        </w:rPr>
        <w:t xml:space="preserve">Glossariy</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561"/>
        <w:gridCol w:w="2058"/>
        <w:gridCol w:w="2245"/>
        <w:gridCol w:w="2245"/>
        <w:gridCol w:w="2245"/>
      </w:tblGrid>
      <w:tr>
        <w:trPr>
          <w:cantSplit/>
          <w:tblHeader/>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Atama</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Oʻzbek tilida</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Rus tilida</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Ingliz tilida</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Jinoyat huquqi</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Jinoyat va jazoni belgilovchi huquq tarmogʻi</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Уголовное право</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Criminal law</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Jinoyat qonuni</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Jinoiy javobgarlikni belgilovchi normativ hujjat</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Уголовный закон</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Criminal statute</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3</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Jinoyat tarkibi</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Jinoyatni tashkil etuvchi majburiy belgilar yigʻindisi</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Состав преступления</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Elements of a crime</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4</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Jinoyat obyekti</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Jinoyat bilan zarar yetkaziladigan ijtimoiy munosabat</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Объект преступления</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Object of the crime</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5</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Jinoyat subyekti</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Jinoyat sodir etgan va javobgar boʻladigan shaxs</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Субъект преступления</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Subject of the crime</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6</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Ayblilik</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Qilmishga nisbatan qasddan yoki ehtiyotsizlik shaklidagi ruhiy munosabat</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Вина</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Guilt</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7</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Qasd</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Shaxsning ijtimoiy xavfli qilmishni ongli ravishda sodir etishi</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Умысел</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Intent</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8</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Ehtiyotsizlik</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Natija yuz berishini oldindan koʻrish yoki koʻrmaslik bilan bogʻliq ayb shakli</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Неосторожность</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Negligence</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9</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Jazo</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Sud tomonidan tayinlanadigan davlat majburlov chorasi</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Наказание</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Punishment</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10</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Sanksiya</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Normani buzganlik uchun koʻrsatilgan huquqiy oqibat</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Санкция</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Sanction</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11</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Qonunning orqaga qaytmasligi</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Jinoiy qonun odatda keyingi qilmishlarga nisbatan qoʻllanadi</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Обратная сила закона</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Non-retroactivity of law</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12</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Sudlanganlik</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Jazo tayinlanganidan keyingi huquqiy holat</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Судимость</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Criminal record</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13</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Yengillashtiruvchi holatlar</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Jazo tayinlashda inobatga olinadigan yengillashtiruvchi omillar</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Смягчающие обстоятельства</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Mitigating circumstances</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14</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Ogʻirlashtiruvchi holatlar</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Jazo tayinlashda ogʻirlashtiruvchi omillar</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Отягчающие обстоятельства</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Aggravating circumstances</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15</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Tayyorlanish bosqichi</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Jinoyat sodir etishga qaratilgan tayyorgarlik harakatlari</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Приготовление к преступлению</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Preparation for a crime</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16</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Suiqasd</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Jinoyatni yakuniga yetkazishga qaratilgan harakat</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Покушение на преступление</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Attempt</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17</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Oqlovchi holat</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Qilmishni jinoyat sifatida baholashni istisno qiluvchi holat</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Обстоятельство, исключающее преступность деяния</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Ground excluding criminality of an act</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18</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Jinoiy javobgarlik</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Jinoyat sodir etganlik uchun qonuniy javob berish majburiyati</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Уголовная ответственность</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Criminal liability</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19</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Ozod qilish</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Qonunda nazarda tutilgan asos bilan javobgarlik yoki jazodan voz kechish</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Освобождение от ответственности и наказания</w:t>
            </w:r>
          </w:p>
        </w:tc>
        <w:tc>
          <w:tcPr>
            <w:tcW w:type="dxa" w:w="224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Exemption from liability and punishment</w:t>
            </w:r>
          </w:p>
        </w:tc>
      </w:tr>
    </w:tbl>
    <w:p>
      <w:pPr>
        <w:keepNext/>
        <w:spacing w:after="100" w:before="240" w:line="360" w:lineRule="auto"/>
        <w:jc w:val="left"/>
      </w:pPr>
      <w:r>
        <w:rPr>
          <w:rFonts w:ascii="Times New Roman" w:cs="Times New Roman" w:eastAsia="Times New Roman" w:hAnsi="Times New Roman"/>
          <w:b/>
          <w:bCs/>
          <w:sz w:val="28"/>
          <w:szCs w:val="28"/>
          <w:lang w:val="uz-Latn-UZ"/>
        </w:rPr>
        <w:t xml:space="preserve">Foydalanilgan adabiyotlar roʻyxati</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Oʻzbekiston Respublikasi. Oʻzbekiston Respublikasi Jinoyat kodeksi. – Qonunchilik maʼlumotlari milliy bazasi, 2024.</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Oʻzbekiston Respublikasi. Oʻzbekiston Respublikasi Konstitutsiyasi. – Qonunchilik maʼlumotlari milliy bazasi, 2023.</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Oʻzbekiston Respublikasi. Oʻzbekiston Respublikasi Jinoyat-protsessual kodeksi. – Qonunchilik maʼlumotlari milliy bazasi, 2024.</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 I. Rarog. Ugolovnoe pravo Rossii. Obshaya chast. – Prospekt, 2023.</w:t>
      </w:r>
    </w:p>
    <w:sectPr>
      <w:pgSz w:w="11906" w:h="16838" w:orient="portrait"/>
      <w:pgMar w:top="1418" w:right="851" w:bottom="1418"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rPr>
        <w:rFonts w:ascii="Times New Roman" w:cs="Times New Roman" w:eastAsia="Times New Roman" w:hAnsi="Times New Roman"/>
        <w:sz w:val="28"/>
        <w:szCs w:val="28"/>
      </w:rPr>
    </w:lvl>
  </w:abstractNum>
  <w:abstractNum w:abstractNumId="3" w15:restartNumberingAfterBreak="0">
    <w:multiLevelType w:val="hybridMultilevel"/>
    <w:lvl w:ilvl="0" w15:tentative="1">
      <w:start w:val="1"/>
      <w:numFmt w:val="bullet"/>
      <w:lvlText w:val="•"/>
      <w:lvlJc w:val="left"/>
      <w:pPr>
        <w:ind w:left="720" w:hanging="360"/>
      </w:pPr>
      <w:rPr>
        <w:rFonts w:ascii="Times New Roman" w:cs="Times New Roman" w:eastAsia="Times New Roman" w:hAnsi="Times New Roman"/>
        <w:sz w:val="28"/>
        <w:szCs w:val="28"/>
      </w:rPr>
    </w:lvl>
  </w:abstractNum>
  <w:num w:numId="1">
    <w:abstractNumId w:val="1"/>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3"/>
    <w:lvlOverride w:ilvl="0">
      <w:startOverride w:val="1"/>
    </w:lvlOverride>
  </w:num>
  <w:num w:numId="11">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autoHyphenation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Jinoyat huquqi fanidan tarqatma materiallar</dc:title>
  <dc:creator>Tadqiq.uz</dc:creator>
  <cp:lastModifiedBy>Un-named</cp:lastModifiedBy>
  <cp:revision>1</cp:revision>
  <dcterms:created xsi:type="dcterms:W3CDTF">2026-07-28T07:30:16.785Z</dcterms:created>
  <dcterms:modified xsi:type="dcterms:W3CDTF">2026-07-28T07:30:16.785Z</dcterms:modified>
</cp:coreProperties>
</file>

<file path=docProps/custom.xml><?xml version="1.0" encoding="utf-8"?>
<Properties xmlns="http://schemas.openxmlformats.org/officeDocument/2006/custom-properties" xmlns:vt="http://schemas.openxmlformats.org/officeDocument/2006/docPropsVTypes"/>
</file>