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 w:line="360" w:lineRule="auto"/>
        <w:jc w:val="center"/>
      </w:pPr>
      <w:r>
        <w:rPr>
          <w:rFonts w:ascii="Times New Roman" w:cs="Times New Roman" w:eastAsia="Times New Roman" w:hAnsi="Times New Roman"/>
          <w:b w:val="false"/>
          <w:bCs w:val="false"/>
          <w:i w:val="false"/>
          <w:iCs w:val="false"/>
          <w:sz w:val="28"/>
          <w:szCs w:val="28"/>
          <w:lang w:val="uz-Latn-UZ"/>
        </w:rPr>
        <w:t xml:space="preserve">OʻZBEKISTON RESPUBLIKASI</w:t>
      </w:r>
    </w:p>
    <w:p>
      <w:pPr>
        <w:spacing w:after="40" w:before="40" w:line="360" w:lineRule="auto"/>
        <w:jc w:val="center"/>
      </w:pPr>
      <w:r>
        <w:rPr>
          <w:rFonts w:ascii="Times New Roman" w:cs="Times New Roman" w:eastAsia="Times New Roman" w:hAnsi="Times New Roman"/>
          <w:b w:val="false"/>
          <w:bCs w:val="false"/>
          <w:i w:val="false"/>
          <w:iCs w:val="false"/>
          <w:sz w:val="28"/>
          <w:szCs w:val="28"/>
          <w:lang w:val="uz-Latn-UZ"/>
        </w:rPr>
        <w:t xml:space="preserve">OLIY TAʼLIM, FAN VA INNOVATSIYALAR VAZIRLIGI</w:t>
      </w:r>
    </w:p>
    <w:p>
      <w:pPr>
        <w:spacing w:after="40" w:before="40" w:line="360" w:lineRule="auto"/>
        <w:jc w:val="center"/>
      </w:pPr>
      <w:r>
        <w:rPr>
          <w:rFonts w:ascii="Times New Roman" w:cs="Times New Roman" w:eastAsia="Times New Roman" w:hAnsi="Times New Roman"/>
          <w:b/>
          <w:bCs/>
          <w:i w:val="false"/>
          <w:iCs w:val="false"/>
          <w:sz w:val="28"/>
          <w:szCs w:val="28"/>
          <w:lang w:val="uz-Latn-UZ"/>
        </w:rPr>
        <w:t xml:space="preserve">Toshkent kimyo-texnologiya instituti</w:t>
      </w:r>
    </w:p>
    <w:p>
      <w:pPr>
        <w:spacing w:after="40" w:before="40" w:line="360" w:lineRule="auto"/>
        <w:jc w:val="center"/>
      </w:pPr>
      <w:r>
        <w:rPr>
          <w:rFonts w:ascii="Times New Roman" w:cs="Times New Roman" w:eastAsia="Times New Roman" w:hAnsi="Times New Roman"/>
          <w:b w:val="false"/>
          <w:bCs w:val="false"/>
          <w:i w:val="false"/>
          <w:iCs w:val="false"/>
          <w:sz w:val="28"/>
          <w:szCs w:val="28"/>
          <w:lang w:val="uz-Latn-UZ"/>
        </w:rPr>
        <w:t xml:space="preserve">Kimyo texnologiyasi fakulteti</w:t>
      </w:r>
    </w:p>
    <w:p>
      <w:pPr>
        <w:spacing w:after="40" w:before="40" w:line="360" w:lineRule="auto"/>
        <w:jc w:val="center"/>
      </w:pPr>
      <w:r>
        <w:rPr>
          <w:rFonts w:ascii="Times New Roman" w:cs="Times New Roman" w:eastAsia="Times New Roman" w:hAnsi="Times New Roman"/>
          <w:b w:val="false"/>
          <w:bCs w:val="false"/>
          <w:i w:val="false"/>
          <w:iCs w:val="false"/>
          <w:sz w:val="28"/>
          <w:szCs w:val="28"/>
          <w:lang w:val="uz-Latn-UZ"/>
        </w:rPr>
        <w:t xml:space="preserve">Analitik kimyo kafedrasi</w:t>
      </w:r>
    </w:p>
    <w:p>
      <w:r>
        <w:t xml:space="preserve"/>
      </w:r>
    </w:p>
    <w:p>
      <w:pPr>
        <w:spacing w:after="30" w:before="30" w:line="360" w:lineRule="auto"/>
        <w:jc w:val="right"/>
      </w:pPr>
      <w:r>
        <w:rPr>
          <w:rFonts w:ascii="Times New Roman" w:cs="Times New Roman" w:eastAsia="Times New Roman" w:hAnsi="Times New Roman"/>
          <w:b/>
          <w:bCs/>
          <w:i w:val="false"/>
          <w:iCs w:val="false"/>
          <w:sz w:val="28"/>
          <w:szCs w:val="28"/>
          <w:lang w:val="uz-Latn-UZ"/>
        </w:rPr>
        <w:t xml:space="preserve">"TASDIQLAYMAN"</w:t>
      </w:r>
    </w:p>
    <w:p>
      <w:pPr>
        <w:spacing w:after="30" w:before="30" w:line="360" w:lineRule="auto"/>
        <w:jc w:val="right"/>
      </w:pPr>
      <w:r>
        <w:rPr>
          <w:rFonts w:ascii="Times New Roman" w:cs="Times New Roman" w:eastAsia="Times New Roman" w:hAnsi="Times New Roman"/>
          <w:b w:val="false"/>
          <w:bCs w:val="false"/>
          <w:i w:val="false"/>
          <w:iCs w:val="false"/>
          <w:sz w:val="28"/>
          <w:szCs w:val="28"/>
          <w:lang w:val="uz-Latn-UZ"/>
        </w:rPr>
        <w:t xml:space="preserve">Oʻquv ishlari boʻyicha prorektor</w:t>
      </w:r>
    </w:p>
    <w:p>
      <w:pPr>
        <w:spacing w:after="30" w:before="30" w:line="360" w:lineRule="auto"/>
        <w:jc w:val="right"/>
      </w:pPr>
      <w:r>
        <w:rPr>
          <w:rFonts w:ascii="Times New Roman" w:cs="Times New Roman" w:eastAsia="Times New Roman" w:hAnsi="Times New Roman"/>
          <w:b w:val="false"/>
          <w:bCs w:val="false"/>
          <w:i w:val="false"/>
          <w:iCs w:val="false"/>
          <w:sz w:val="28"/>
          <w:szCs w:val="28"/>
          <w:lang w:val="uz-Latn-UZ"/>
        </w:rPr>
        <w:t xml:space="preserve">Adilov Sh.A.</w:t>
      </w:r>
    </w:p>
    <w:p>
      <w:pPr>
        <w:spacing w:after="30" w:before="30" w:line="360" w:lineRule="auto"/>
        <w:jc w:val="right"/>
      </w:pPr>
      <w:r>
        <w:rPr>
          <w:rFonts w:ascii="Times New Roman" w:cs="Times New Roman" w:eastAsia="Times New Roman" w:hAnsi="Times New Roman"/>
          <w:b w:val="false"/>
          <w:bCs w:val="false"/>
          <w:i w:val="false"/>
          <w:iCs w:val="false"/>
          <w:sz w:val="28"/>
          <w:szCs w:val="28"/>
          <w:lang w:val="uz-Latn-UZ"/>
        </w:rPr>
        <w:t xml:space="preserve">_______________________</w:t>
      </w:r>
    </w:p>
    <w:p>
      <w:pPr>
        <w:spacing w:after="30" w:before="30" w:line="360" w:lineRule="auto"/>
        <w:jc w:val="right"/>
      </w:pPr>
      <w:r>
        <w:rPr>
          <w:rFonts w:ascii="Times New Roman" w:cs="Times New Roman" w:eastAsia="Times New Roman" w:hAnsi="Times New Roman"/>
          <w:b w:val="false"/>
          <w:bCs w:val="false"/>
          <w:i w:val="false"/>
          <w:iCs w:val="false"/>
          <w:sz w:val="28"/>
          <w:szCs w:val="28"/>
          <w:lang w:val="uz-Latn-UZ"/>
        </w:rPr>
        <w:t xml:space="preserve">20__ -yil «___» ____________</w:t>
      </w:r>
    </w:p>
    <w:p>
      <w:r>
        <w:t xml:space="preserve"/>
      </w:r>
    </w:p>
    <w:p>
      <w:r>
        <w:t xml:space="preserve"/>
      </w:r>
    </w:p>
    <w:p>
      <w:pPr>
        <w:spacing w:after="40" w:before="40" w:line="360" w:lineRule="auto"/>
        <w:jc w:val="center"/>
      </w:pPr>
      <w:r>
        <w:rPr>
          <w:rFonts w:ascii="Times New Roman" w:cs="Times New Roman" w:eastAsia="Times New Roman" w:hAnsi="Times New Roman"/>
          <w:b/>
          <w:bCs/>
          <w:i w:val="false"/>
          <w:iCs w:val="false"/>
          <w:sz w:val="30"/>
          <w:szCs w:val="30"/>
          <w:lang w:val="uz-Latn-UZ"/>
        </w:rPr>
        <w:t xml:space="preserve">ANALITIK KIMYO fanidan</w:t>
      </w:r>
    </w:p>
    <w:p>
      <w:pPr>
        <w:spacing w:after="40" w:before="40" w:line="360" w:lineRule="auto"/>
        <w:jc w:val="center"/>
      </w:pPr>
      <w:r>
        <w:rPr>
          <w:rFonts w:ascii="Times New Roman" w:cs="Times New Roman" w:eastAsia="Times New Roman" w:hAnsi="Times New Roman"/>
          <w:b/>
          <w:bCs/>
          <w:i w:val="false"/>
          <w:iCs w:val="false"/>
          <w:sz w:val="30"/>
          <w:szCs w:val="30"/>
          <w:lang w:val="uz-Latn-UZ"/>
        </w:rPr>
        <w:t xml:space="preserve">laboratoriya mashgʻulotlari uchun</w:t>
      </w:r>
    </w:p>
    <w:p>
      <w:pPr>
        <w:spacing w:after="40" w:before="40" w:line="360" w:lineRule="auto"/>
        <w:jc w:val="center"/>
      </w:pPr>
      <w:r>
        <w:rPr>
          <w:rFonts w:ascii="Times New Roman" w:cs="Times New Roman" w:eastAsia="Times New Roman" w:hAnsi="Times New Roman"/>
          <w:b/>
          <w:bCs/>
          <w:i w:val="false"/>
          <w:iCs w:val="false"/>
          <w:sz w:val="30"/>
          <w:szCs w:val="30"/>
          <w:lang w:val="uz-Latn-UZ"/>
        </w:rPr>
        <w:t xml:space="preserve">USLUBIY QOʻLLANMA</w:t>
      </w:r>
    </w:p>
    <w:p>
      <w:r>
        <w:t xml:space="preserve"/>
      </w:r>
    </w:p>
    <w:p>
      <w:r>
        <w:t xml:space="preserve"/>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2993"/>
        <w:gridCol w:w="6361"/>
      </w:tblGrid>
      <w:tr>
        <w:trPr>
          <w:cantSplit/>
          <w:tblHeader w:val="false"/>
        </w:trPr>
        <w:tc>
          <w:tcPr>
            <w:tcW w:type="dxa" w:w="2993"/>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Bilim sohasi:</w:t>
            </w:r>
          </w:p>
        </w:tc>
        <w:tc>
          <w:tcPr>
            <w:tcW w:type="dxa" w:w="636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600 000 - Ishlab chiqarish-texnik soha</w:t>
            </w:r>
          </w:p>
        </w:tc>
      </w:tr>
      <w:tr>
        <w:trPr>
          <w:cantSplit/>
          <w:tblHeader w:val="false"/>
        </w:trPr>
        <w:tc>
          <w:tcPr>
            <w:tcW w:type="dxa" w:w="2993"/>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Taʼlim sohasi:</w:t>
            </w:r>
          </w:p>
        </w:tc>
        <w:tc>
          <w:tcPr>
            <w:tcW w:type="dxa" w:w="636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610 000 - Muhandislik, ishlab chiqarish va qurilish sohalari</w:t>
            </w:r>
          </w:p>
        </w:tc>
      </w:tr>
      <w:tr>
        <w:trPr>
          <w:cantSplit/>
          <w:tblHeader w:val="false"/>
        </w:trPr>
        <w:tc>
          <w:tcPr>
            <w:tcW w:type="dxa" w:w="2993"/>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Taʼlim yoʻnalishi:</w:t>
            </w:r>
          </w:p>
        </w:tc>
        <w:tc>
          <w:tcPr>
            <w:tcW w:type="dxa" w:w="636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60710100 - Kimyoviy texnologiya</w:t>
            </w:r>
          </w:p>
        </w:tc>
      </w:tr>
    </w:tbl>
    <w:p>
      <w:r>
        <w:t xml:space="preserve"/>
      </w:r>
    </w:p>
    <w:p>
      <w:r>
        <w:t xml:space="preserve"/>
      </w:r>
    </w:p>
    <w:p>
      <w:pPr>
        <w:spacing w:after="40" w:before="40" w:line="360" w:lineRule="auto"/>
        <w:jc w:val="center"/>
      </w:pPr>
      <w:r>
        <w:rPr>
          <w:rFonts w:ascii="Times New Roman" w:cs="Times New Roman" w:eastAsia="Times New Roman" w:hAnsi="Times New Roman"/>
          <w:b w:val="false"/>
          <w:bCs w:val="false"/>
          <w:i w:val="false"/>
          <w:iCs w:val="false"/>
          <w:sz w:val="28"/>
          <w:szCs w:val="28"/>
          <w:lang w:val="uz-Latn-UZ"/>
        </w:rPr>
        <w:t xml:space="preserve">Toshkent - 2025-yil</w:t>
      </w:r>
    </w:p>
    <w:p>
      <w:pPr>
        <w:keepNext/>
        <w:pageBreakBefore/>
        <w:spacing w:after="120" w:before="240" w:line="360" w:lineRule="auto"/>
        <w:jc w:val="center"/>
      </w:pPr>
      <w:r>
        <w:rPr>
          <w:rFonts w:ascii="Times New Roman" w:cs="Times New Roman" w:eastAsia="Times New Roman" w:hAnsi="Times New Roman"/>
          <w:b/>
          <w:bCs/>
          <w:i w:val="false"/>
          <w:iCs w:val="false"/>
          <w:sz w:val="28"/>
          <w:szCs w:val="28"/>
          <w:lang w:val="uz-Latn-UZ"/>
        </w:rPr>
        <w:t xml:space="preserve">TUZUVCHILAR VA TAQRIZCHILAR</w:t>
      </w:r>
    </w:p>
    <w:p>
      <w:pPr>
        <w:spacing w:after="20" w:before="20" w:line="360" w:lineRule="auto"/>
        <w:jc w:val="left"/>
      </w:pPr>
      <w:r>
        <w:rPr>
          <w:rFonts w:ascii="Times New Roman" w:cs="Times New Roman" w:eastAsia="Times New Roman" w:hAnsi="Times New Roman"/>
          <w:b w:val="false"/>
          <w:bCs w:val="false"/>
          <w:i w:val="false"/>
          <w:iCs w:val="false"/>
          <w:sz w:val="28"/>
          <w:szCs w:val="28"/>
          <w:lang w:val="uz-Latn-UZ"/>
        </w:rPr>
        <w:t xml:space="preserve">Tuzuvchi: </w:t>
      </w:r>
      <w:r>
        <w:rPr>
          <w:rFonts w:ascii="Times New Roman" w:cs="Times New Roman" w:eastAsia="Times New Roman" w:hAnsi="Times New Roman"/>
          <w:b w:val="false"/>
          <w:bCs w:val="false"/>
          <w:i w:val="false"/>
          <w:iCs w:val="false"/>
          <w:sz w:val="28"/>
          <w:szCs w:val="28"/>
          <w:lang w:val="uz-Latn-UZ"/>
        </w:rPr>
        <w:t xml:space="preserve">Toshmatov Alisher Hamidovich, kimyo fanlari boʻyicha falsafa doktori (PhD), dotsent</w:t>
      </w:r>
    </w:p>
    <w:p>
      <w:pPr>
        <w:spacing w:after="20" w:before="20" w:line="360" w:lineRule="auto"/>
        <w:jc w:val="left"/>
      </w:pPr>
      <w:r>
        <w:rPr>
          <w:rFonts w:ascii="Times New Roman" w:cs="Times New Roman" w:eastAsia="Times New Roman" w:hAnsi="Times New Roman"/>
          <w:b w:val="false"/>
          <w:bCs w:val="false"/>
          <w:i w:val="false"/>
          <w:iCs w:val="false"/>
          <w:sz w:val="28"/>
          <w:szCs w:val="28"/>
          <w:lang w:val="uz-Latn-UZ"/>
        </w:rPr>
        <w:t xml:space="preserve">Taqrizchi: </w:t>
      </w:r>
      <w:r>
        <w:rPr>
          <w:rFonts w:ascii="Times New Roman" w:cs="Times New Roman" w:eastAsia="Times New Roman" w:hAnsi="Times New Roman"/>
          <w:b w:val="false"/>
          <w:bCs w:val="false"/>
          <w:i w:val="false"/>
          <w:iCs w:val="false"/>
          <w:sz w:val="28"/>
          <w:szCs w:val="28"/>
          <w:lang w:val="uz-Latn-UZ"/>
        </w:rPr>
        <w:t xml:space="preserve">Rahimov Bahodir Umarovich, PhD, TKTI "Analitik kimyo" kafedrasi dotsenti</w:t>
      </w:r>
    </w:p>
    <w:p>
      <w:pPr>
        <w:spacing w:after="20" w:before="20" w:line="360" w:lineRule="auto"/>
        <w:jc w:val="left"/>
      </w:pPr>
      <w:r>
        <w:rPr>
          <w:rFonts w:ascii="Times New Roman" w:cs="Times New Roman" w:eastAsia="Times New Roman" w:hAnsi="Times New Roman"/>
          <w:b w:val="false"/>
          <w:bCs w:val="false"/>
          <w:i w:val="false"/>
          <w:iCs w:val="false"/>
          <w:sz w:val="28"/>
          <w:szCs w:val="28"/>
          <w:lang w:val="uz-Latn-UZ"/>
        </w:rPr>
        <w:t xml:space="preserve">Taqrizchi: </w:t>
      </w:r>
      <w:r>
        <w:rPr>
          <w:rFonts w:ascii="Times New Roman" w:cs="Times New Roman" w:eastAsia="Times New Roman" w:hAnsi="Times New Roman"/>
          <w:b w:val="false"/>
          <w:bCs w:val="false"/>
          <w:i w:val="false"/>
          <w:iCs w:val="false"/>
          <w:sz w:val="28"/>
          <w:szCs w:val="28"/>
          <w:lang w:val="uz-Latn-UZ"/>
        </w:rPr>
        <w:t xml:space="preserve">Yusupova Nilufar Akromovna, DSc, OʻzMU "Analitik kimyo" kafedrasi professori</w:t>
      </w:r>
    </w:p>
    <w:p>
      <w:r>
        <w:t xml:space="preserve"/>
      </w:r>
    </w:p>
    <w:p>
      <w:pPr>
        <w:spacing w:after="20" w:before="20" w:line="360" w:lineRule="auto"/>
        <w:jc w:val="left"/>
      </w:pPr>
      <w:r>
        <w:rPr>
          <w:rFonts w:ascii="Times New Roman" w:cs="Times New Roman" w:eastAsia="Times New Roman" w:hAnsi="Times New Roman"/>
          <w:b w:val="false"/>
          <w:bCs w:val="false"/>
          <w:i w:val="false"/>
          <w:iCs w:val="false"/>
          <w:sz w:val="28"/>
          <w:szCs w:val="28"/>
          <w:lang w:val="uz-Latn-UZ"/>
        </w:rPr>
        <w:t xml:space="preserve">Ushbu uslubiy qoʻllanma </w:t>
      </w:r>
      <w:r>
        <w:rPr>
          <w:rFonts w:ascii="Times New Roman" w:cs="Times New Roman" w:eastAsia="Times New Roman" w:hAnsi="Times New Roman"/>
          <w:b w:val="false"/>
          <w:bCs w:val="false"/>
          <w:i w:val="false"/>
          <w:iCs w:val="false"/>
          <w:sz w:val="28"/>
          <w:szCs w:val="28"/>
          <w:lang w:val="uz-Latn-UZ"/>
        </w:rPr>
        <w:t xml:space="preserve">Analitik kimyo kafedrasi majlisida muhokama qilingan (bayonnoma №___, 20__ -yil «___» ____________), </w:t>
      </w:r>
      <w:r>
        <w:rPr>
          <w:rFonts w:ascii="Times New Roman" w:cs="Times New Roman" w:eastAsia="Times New Roman" w:hAnsi="Times New Roman"/>
          <w:b w:val="false"/>
          <w:bCs w:val="false"/>
          <w:i w:val="false"/>
          <w:iCs w:val="false"/>
          <w:sz w:val="28"/>
          <w:szCs w:val="28"/>
          <w:lang w:val="uz-Latn-UZ"/>
        </w:rPr>
        <w:t xml:space="preserve">Kimyo texnologiyasi fakulteti uslubiy kengashida koʻrib chiqilgan (bayonnoma №___, 20__ -yil «___» ____________) </w:t>
      </w:r>
      <w:r>
        <w:rPr>
          <w:rFonts w:ascii="Times New Roman" w:cs="Times New Roman" w:eastAsia="Times New Roman" w:hAnsi="Times New Roman"/>
          <w:b w:val="false"/>
          <w:bCs w:val="false"/>
          <w:i w:val="false"/>
          <w:iCs w:val="false"/>
          <w:sz w:val="28"/>
          <w:szCs w:val="28"/>
          <w:lang w:val="uz-Latn-UZ"/>
        </w:rPr>
        <w:t xml:space="preserve">hamda universitet oʻquv-uslubiy kengashida chop etishga tavsiya etilgan (bayonnoma №___, 20__ -yil «___» ____________).</w:t>
      </w:r>
    </w:p>
    <w:p>
      <w:r>
        <w:t xml:space="preserve"/>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5799"/>
        <w:gridCol w:w="3555"/>
      </w:tblGrid>
      <w:tr>
        <w:trPr>
          <w:cantSplit/>
          <w:tblHeader w:val="false"/>
        </w:trPr>
        <w:tc>
          <w:tcPr>
            <w:tcW w:type="dxa" w:w="579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Kafedra mudiri:</w:t>
            </w:r>
          </w:p>
        </w:tc>
        <w:tc>
          <w:tcPr>
            <w:tcW w:type="dxa" w:w="3555"/>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sz w:val="24"/>
                <w:szCs w:val="24"/>
                <w:highlight w:val="yellow"/>
                <w:highlightCs w:val="yellow"/>
                <w:lang w:val="uz-Latn-UZ"/>
              </w:rPr>
              <w:t xml:space="preserve">  F.I.Sh.  </w:t>
            </w:r>
          </w:p>
        </w:tc>
      </w:tr>
      <w:tr>
        <w:trPr>
          <w:cantSplit/>
          <w:tblHeader w:val="false"/>
        </w:trPr>
        <w:tc>
          <w:tcPr>
            <w:tcW w:type="dxa" w:w="579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Fakultet uslubiy kengashi raisi:</w:t>
            </w:r>
          </w:p>
        </w:tc>
        <w:tc>
          <w:tcPr>
            <w:tcW w:type="dxa" w:w="3555"/>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sz w:val="24"/>
                <w:szCs w:val="24"/>
                <w:highlight w:val="yellow"/>
                <w:highlightCs w:val="yellow"/>
                <w:lang w:val="uz-Latn-UZ"/>
              </w:rPr>
              <w:t xml:space="preserve">  F.I.Sh.  </w:t>
            </w:r>
          </w:p>
        </w:tc>
      </w:tr>
    </w:tbl>
    <w:p>
      <w:pPr>
        <w:pStyle w:val="Heading1"/>
        <w:keepNext/>
        <w:pageBreakBefore/>
        <w:spacing w:after="120" w:before="240" w:line="360" w:lineRule="auto"/>
        <w:jc w:val="center"/>
      </w:pPr>
      <w:r>
        <w:rPr>
          <w:rFonts w:ascii="Times New Roman" w:cs="Times New Roman" w:eastAsia="Times New Roman" w:hAnsi="Times New Roman"/>
          <w:b/>
          <w:bCs/>
          <w:i w:val="false"/>
          <w:iCs w:val="false"/>
          <w:sz w:val="28"/>
          <w:szCs w:val="28"/>
          <w:lang w:val="uz-Latn-UZ"/>
        </w:rPr>
        <w:t xml:space="preserve">ANNOTATSIYA</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Ushbu uslubiy qoʻllanma Analitik kimyo fani boʻyicha bakalavriat talabalari uchun laboratoriya mashgʻulotlarini bajarishga moʻljallangan. Qoʻllanma kimyo, analitik kimyo va unga yaqin yoʻnalishlarda tahsil olayotgan talabalar uchun tayyorlangan boʻlib, unda sifat va miqdoriy tahlil, titrimetrik usullar, eritmalar tayyorlash, asosiy laboratoriya asboblari bilan ishlash, oʻlchash natijalarini qayta ishlash kabi mashgʻulotlar qamrab olinadi. Qoʻllanma talabalarda aniq oʻlchash, natijalarni baholash, xatoliklarni hisobga olish, laboratoriya madaniyati va xavfsizlik qoidalariga rioya etish koʻnikmalarini shakllantirishga xizmat qiladi.</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KIRISH</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Analitik kimyo moddalarning tarkibi, konsentratsiyasi va tuzilishiga oid maʼlumotlarni aniqlash usullarini oʻrganadigan fundamental va amaliy fan hisoblanadi. U sanoat, ekologiya, farmatsevtika, oziq-ovqat xavfsizligi, tibbiyot va sud ekspertizasida keng qoʻllanilishi bilan dolzarb ahamiyatga ega. Mazkur uslubiy qoʻllanmaning maqsadi talabalarga laboratoriya ishlarini mustaqil va xavfsiz bajarish, oʻlchash natijalarini ilmiy asosda tahlil qilish va xulosalashni oʻrgatishdir. Har bir laboratoriya mashgʻuloti maqsad, ish rejasi, tayanch tushunchalar, nazariy maʼlumot, topshiriqlar hamda nazorat savollaridan iborat tuzilgan. Talabalar mashgʻulotga tayyorlanishda nazariy qismni oldindan oʻqib chiqishlari, hisob-kitoblarni aniqlik bilan yuritishlari va tajriba davomida reaktivlar hamda asbob-uskunalar bilan ehtiyotkor ishlashlari kerak. Qoʻllanmadan foydalanish jarayonida olingan natijalarni jadval va grafiklar koʻrinishida rasmiylashtirish hamda laboratoriya hisobotini belgilangan talablarga muvofiq yozish tavsiya etiladi.</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LABORATORIYADA ISHLASH QOIDALARI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Laboratoriyaga faqat oʻqituvchi ruxsati bilan kirish va ish joyini topshiriqqa muvofiq tayyorlash shart.</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Xalat, himoya koʻzoynagi va qoʻlqop kiyish shart; uzun sochlarni yigʻib qoʻyish kerak.</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Reaktivlarni tatib koʻrish, toʻgʻridan-toʻgʻri hidlash va ogʻiz bilan pipetkalash taqiqlanadi.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Kislota va ishqorlar bilan ishlaganda ularni suvga asta-sekin qoʻshish kerak; suvni konsentrlangan kislotaga quyish taqiqlanadi.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Zaharli, uchuvchan yoki yoqimsiz hidli moddalardan faqat shamollatish shkafi ostida foydalanish kerak.</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Isitish asboblari, spirt lampasi, elektr plitka va quritgichlar bilan ishlaganda yonuvchi moddalarni uzoqda saqlash kerak.</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Shisha idishlar, byureta, pipetka va kolbalarni yorilish yoki yoriqlar bor-yoʻqligiga tekshirish shart; shikastlangan idishlardan foydalanish taqiqlanadi.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Elektr jihozlarini nam qoʻl bilan yoqish yoki oʻchirish taqiqlanadi; simlar va ulanishlar sozligini oldindan tekshirish kerak.</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Bosim ostidagi idishlar, gaz ballonlari va yopiq tizimlarni oʻqituvchi koʻrsatmasisiz ochish yoki qizdirish taqiqlanadi.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Tayyor eritmalarni notoʻgʻri idishga quyish, reagentlarni aralashtirishdan oldin yorliqlarni tekshirmaslik taqiqlanadi.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Chiqindilarni belgilangan idishlarga ajratib tashlash kerak; kislota, ishqor, ogʻir metall tuzlari va organik erituvchilarni kanalizatsiyaga toʻkish taqiqlanadi.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Har qanday toʻkilish, sinish, kuyish yoki zaharlanish holatida ishni darhol toʻxtatish va oʻqituvchiga xabar berish shart.</w:t>
      </w:r>
    </w:p>
    <w:p>
      <w:pPr>
        <w:pStyle w:val="Heading1"/>
        <w:keepNext/>
        <w:pageBreakBefore/>
        <w:spacing w:after="100" w:before="240" w:line="360" w:lineRule="auto"/>
        <w:jc w:val="left"/>
      </w:pPr>
      <w:r>
        <w:rPr>
          <w:rFonts w:ascii="Times New Roman" w:cs="Times New Roman" w:eastAsia="Times New Roman" w:hAnsi="Times New Roman"/>
          <w:b/>
          <w:bCs/>
          <w:i w:val="false"/>
          <w:iCs w:val="false"/>
          <w:sz w:val="28"/>
          <w:szCs w:val="28"/>
          <w:lang w:val="uz-Latn-UZ"/>
        </w:rPr>
        <w:t xml:space="preserve">1-laboratoriya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Analitik eritmalar tayyorlash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analitik darajadagi eritmalarni aniq massa va hajm asosida tayyorlash koʻnikmasini shakllantirish. Konsentratsiya ifodalash usullarini amalda qoʻllash va oʻlchash xatolarini baholashni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Analitik kimyoda konsentratsiya tushunchalari va hisoblash usullari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Eritma tayyorlash uchun zarur asbob va reaktivlar bilan ishlash</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Berilgan konsentratsiyali eritmani tayyorlash va yorliqlash</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Tayyor eritmaning hisobiy va amaliy tekshiruvini solishtirish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massa ulushi; molyar konsentratsiya; normal konsentratsiya; analitik tarozi; oʻlchov kolbasi; pipetka.</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Analitik laboratoriyada koʻp hollarda reagentlar aniq konsentratsiyali eritmalar koʻrinishida ishlatiladi. Konsentratsiya massa ulushi, molyar konsentratsiya va normal konsentratsiya orqali ifodalanadi. Eritma tayyorlashda moddaning miqdori va eritma hajmi aniq hisoblanadi, soʻng analitik tarozida tortib olinadi yoki pipetka yordamida oʻlchanadi. Natijada tayyorlangan eritmaning haqiqiy konsentratsiyasi tayyorlash aniqligiga bogʻliq boʻladi. Bu mashgʻulot keyingi titrimetrik va instrumental tahlillar uchun asos yaratadi.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Analitik tarozi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Oʻlchov kolbalari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Byuretkalar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Pipetkalar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Stakanlar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Distillangan suv</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NaCl yoki boshqa standart modda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Shisha tayoqcha</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Berilgan konsentratsiya va hajm uchun kerakli modda massasini hisoblang</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Analitik tarozida moddaning hisoblangan massasini torting</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Moddani stakanda oz miqdor distillangan suvda eritib, oʻlchov kolbasiga koʻchiring</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Belgilangan chiziqqacha distillangan suv qoʻshib, eritmani bir jinsli holga keltiring</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Tayyor eritmani yorliqlang va hisobiy konsentratsiya bilan tekshiring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Molyar konsentratsiya qanday aniqlanadi?</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Eritma tayyorlashda analitik tarozining ahamiyati nimada?</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Oʻlchov kolbasidan foydalanish nima uchun zarur?</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Standart eritma va ishchi eritma oʻrtasidagi farq nima?</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Eritma tayyorlashda qanday xatolar koʻp uchraydi?</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2-laboratoriya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Kislota-asos titrlash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kislota-asos titrlash orqali nomaʼlum konsentratsiyani aniqlash va ekvivalentlik nuqtasini belgilash koʻnikmasini shakllantirish. Indikator tanlash va titrlash natijalarini hisoblashni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Kislota-asos reaksiyalarining analitik mohiyati</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Indikatorlar va ekvivalentlik nuqtasi tushunchasi</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Byureta yordamida titrlashni bajarish</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Natijalarni hisoblash va oʻrtacha qiymatni aniqlash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titrlash; ekvivalentlik nuqtasi; indikator; standart eritma; neytrallanish; byuretka.</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Kislota-asos titrlashda eritmadagi kislota yoki ishqor miqdori maʼlum konsentratsiyali standart eritma bilan reaksiyaga kiritiladi. Reaksiya stexiometriyasi asosida sarflangan titrant hajmidan nomaʼlum modda konsentratsiyasi aniqlanadi. Ekvivalentlik nuqtasi indikator rangining oʻzgarishi yoki pH oʻzgarishi orqali topiladi. Fenolftalein, metiloranj kabi indikatorlar titrlanayotgan tizimning pH oraligʻiga mos tanlanadi. Usul aniqligi titrantning standartlash darajasi va titrlash texnikasiga bogʻliq.</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Stativ va qisqich</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Pipetka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Erlenmeyer kolbasi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0,1 mol/L HCl yoki NaOH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Fenolftalein yoki metiloranj</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Distillangan suv</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Voronka</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Byuretka va pipetkani ishlatishdan oldin yuvib tayyorlang</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Pipetka yordamida maʼlum hajmdagi tahlil qilinadigan eritmani kolbaga oling</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Bir necha tomchi indikator qoʻshing</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Titrantni byuretkadan tomchilab qoʻshib, rang oʻzgarishigacha titrlang</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Sarflangan hajmni qayd etib, hisoblash orqali nomaʼlum konsentratsiyani toping</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Kamida uch marta takrorlab, oʻrtacha qiymatni aniqlang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Ekvivalentlik nuqtasi va oxirgi nuqta oʻrtasida qanday farq bor?</w:t>
      </w:r>
    </w:p>
    <w:p>
      <w:pPr>
        <w:pStyle w:val="ListParagraph"/>
        <w:numPr>
          <w:ilvl w:val="0"/>
          <w:numId w:val="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Nima uchun indikatorni ehtiyotkorlik bilan tanlash kerak?</w:t>
      </w:r>
    </w:p>
    <w:p>
      <w:pPr>
        <w:pStyle w:val="ListParagraph"/>
        <w:numPr>
          <w:ilvl w:val="0"/>
          <w:numId w:val="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Titrlash natijasida konsentratsiya qanday hisoblanadi?</w:t>
      </w:r>
    </w:p>
    <w:p>
      <w:pPr>
        <w:pStyle w:val="ListParagraph"/>
        <w:numPr>
          <w:ilvl w:val="0"/>
          <w:numId w:val="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Byuretka oʻqishida paralaks xatosini qanday kamaytirish mumkin?</w:t>
      </w:r>
    </w:p>
    <w:p>
      <w:pPr>
        <w:pStyle w:val="ListParagraph"/>
        <w:numPr>
          <w:ilvl w:val="0"/>
          <w:numId w:val="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Nega titrlashni bir necha marta takrorlash kerak?</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3-laboratoriya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Permanganatometriya</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oksidlanish-qaytarilish titrlashi asosida tahlil oʻtkazish va oksidlovchi-modda miqdorini aniqlash koʻnikmasini rivojlantirish. KMnO4 eritmasi bilan ishlash va natijani hisoblashni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1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Redoks reaksiyalari va permanganatning analitik xossalari</w:t>
      </w:r>
    </w:p>
    <w:p>
      <w:pPr>
        <w:pStyle w:val="ListParagraph"/>
        <w:numPr>
          <w:ilvl w:val="0"/>
          <w:numId w:val="1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Permanganat eritmasini ishchi holatga tayyorlash</w:t>
      </w:r>
    </w:p>
    <w:p>
      <w:pPr>
        <w:pStyle w:val="ListParagraph"/>
        <w:numPr>
          <w:ilvl w:val="0"/>
          <w:numId w:val="1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Nomaʼlum qaytaruvchi modda eritmasini titrlash</w:t>
      </w:r>
    </w:p>
    <w:p>
      <w:pPr>
        <w:pStyle w:val="ListParagraph"/>
        <w:numPr>
          <w:ilvl w:val="0"/>
          <w:numId w:val="1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Hisoblashlar va natijani tahlil qilish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oksidlanish-qaytarilish; oksidlovchi; qaytaruvchi; permanganatometriya; stoixiometriya; oʻz-oʻzidan indikator.</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Permanganatometriya kuchli oksidlovchi boʻlgan kaliy permanganat eritmasi asosidagi titrimetrik usuldir. Kislotali muhitda MnO4- ionlari Mn2+ gacha qaytariladi va eritmaning binafsha rangi ekvivalentlik nuqtasida juda kichik ortiqcha permanganat tufayli saqlanib qoladi. Shu sababli KMnO4 koʻpincha oʻz-oʻzidan indikator vazifasini bajaradi. Usul temir(II), oksalat, vodorod peroksid kabi qaytaruvchilarni aniqlashda qoʻllanadi. Reaksiya tezligi va muhitning kislotaliligi natijaga bevosita taʼsir koʻrsatadi.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Erlenmeyer kolbasi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Konsentrlangan sulfat kislota yoki suyultirilgan H2SO4</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Standart KMnO4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Temir(II) sulfat yoki natriy oksalat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Issiq suv hammomi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Pipetka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Stativ</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1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Permanganat eritmasini filtrlang va ishchi titrant sifatida tayyorlang</w:t>
      </w:r>
    </w:p>
    <w:p>
      <w:pPr>
        <w:pStyle w:val="ListParagraph"/>
        <w:numPr>
          <w:ilvl w:val="0"/>
          <w:numId w:val="1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Tahlil qilinadigan eritmadan maʼlum hajmni kolbaga oling</w:t>
      </w:r>
    </w:p>
    <w:p>
      <w:pPr>
        <w:pStyle w:val="ListParagraph"/>
        <w:numPr>
          <w:ilvl w:val="0"/>
          <w:numId w:val="1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Kislotali muhit hosil qilish uchun kerakli miqdorda H2SO4 qoʻshing</w:t>
      </w:r>
    </w:p>
    <w:p>
      <w:pPr>
        <w:pStyle w:val="ListParagraph"/>
        <w:numPr>
          <w:ilvl w:val="0"/>
          <w:numId w:val="1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KMnO4 bilan titrlab, och pushti rang 30 soniya saqlangan nuqtani aniqlang</w:t>
      </w:r>
    </w:p>
    <w:p>
      <w:pPr>
        <w:pStyle w:val="ListParagraph"/>
        <w:numPr>
          <w:ilvl w:val="0"/>
          <w:numId w:val="1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Sarflangan hajm boʻyicha modda miqdorini hisoblang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1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Nima uchun permanganat titrlashda kislotali muhit zarur?</w:t>
      </w:r>
    </w:p>
    <w:p>
      <w:pPr>
        <w:pStyle w:val="ListParagraph"/>
        <w:numPr>
          <w:ilvl w:val="0"/>
          <w:numId w:val="1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KMnO4 nima uchun oʻz-oʻzidan indikator hisoblanadi?</w:t>
      </w:r>
    </w:p>
    <w:p>
      <w:pPr>
        <w:pStyle w:val="ListParagraph"/>
        <w:numPr>
          <w:ilvl w:val="0"/>
          <w:numId w:val="1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Oksidlovchi va qaytaruvchi tushunchalari nimani anglatadi?</w:t>
      </w:r>
    </w:p>
    <w:p>
      <w:pPr>
        <w:pStyle w:val="ListParagraph"/>
        <w:numPr>
          <w:ilvl w:val="0"/>
          <w:numId w:val="1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Permanganat eritmasini nega filtrlash tavsiya etiladi?</w:t>
      </w:r>
    </w:p>
    <w:p>
      <w:pPr>
        <w:pStyle w:val="ListParagraph"/>
        <w:numPr>
          <w:ilvl w:val="0"/>
          <w:numId w:val="1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Titrlash natijasida ekvivalentlik nuqtasi qanday belgilanadi?</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4-laboratoriya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Argentometriya</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galogenid ionlarini choʻktirish titrlashi yordamida aniqlash koʻnikmasini shakllantirish. AgNO3 asosidagi tahlil va indikator bilan oxirgi nuqtani topishni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1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Choʻktirish reaksiyalari va argentometrik usullar</w:t>
      </w:r>
    </w:p>
    <w:p>
      <w:pPr>
        <w:pStyle w:val="ListParagraph"/>
        <w:numPr>
          <w:ilvl w:val="0"/>
          <w:numId w:val="1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Xromat indikatorli Mohr usulining mohiyati</w:t>
      </w:r>
    </w:p>
    <w:p>
      <w:pPr>
        <w:pStyle w:val="ListParagraph"/>
        <w:numPr>
          <w:ilvl w:val="0"/>
          <w:numId w:val="1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Xlorid ionlarini AgNO3 bilan titrlash</w:t>
      </w:r>
    </w:p>
    <w:p>
      <w:pPr>
        <w:pStyle w:val="ListParagraph"/>
        <w:numPr>
          <w:ilvl w:val="0"/>
          <w:numId w:val="1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Natijalarni hisoblash va tahlil qilish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choʻktirish titrlashi; argentometriya; Mohr usuli; kumush nitrat; xlorid ionlari; ekvivalentlik.</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Argentometriyada tahlil qilinadigan ionlar kumush ionlari bilan kam eruvchan choʻkma hosil qiladi. Mohr usulida xlorid ionlari AgNO3 bilan titrlanadi va barcha Cl- ionlari tugagach, ortiqcha Ag+ xromat indikator bilan qizil-jigarrang Ag2CrO4 choʻkmasini hosil qiladi. Shuning uchun oxirgi nuqta sargʻish rang fonida qizgʻish tus paydo boʻlishi bilan belgilanadi. Usulning aniqligi muhitning neytralga yaqin boʻlishiga bogʻliq, chunki kuchli kislotali yoki ishqoriy muhit indikator ishiga taʼsir qiladi.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Erlenmeyer kolbasi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AgNO3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Natriy xlorid yoki nomaʼlum xlorid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Kaliy xromat indikatori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Pipetka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Distillangan suv</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Stativ</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1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Tahlil qilinadigan eritmadan maʼlum hajmni kolbaga oling</w:t>
      </w:r>
    </w:p>
    <w:p>
      <w:pPr>
        <w:pStyle w:val="ListParagraph"/>
        <w:numPr>
          <w:ilvl w:val="0"/>
          <w:numId w:val="1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Bir necha tomchi kaliy xromat indikatori qoʻshing</w:t>
      </w:r>
    </w:p>
    <w:p>
      <w:pPr>
        <w:pStyle w:val="ListParagraph"/>
        <w:numPr>
          <w:ilvl w:val="0"/>
          <w:numId w:val="1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AgNO3 eritmasi bilan aralashtirib titrlang</w:t>
      </w:r>
    </w:p>
    <w:p>
      <w:pPr>
        <w:pStyle w:val="ListParagraph"/>
        <w:numPr>
          <w:ilvl w:val="0"/>
          <w:numId w:val="1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Qizgʻish-jigarrang rangning barqaror paydo boʻlish nuqtasini qayd eting</w:t>
      </w:r>
    </w:p>
    <w:p>
      <w:pPr>
        <w:pStyle w:val="ListParagraph"/>
        <w:numPr>
          <w:ilvl w:val="0"/>
          <w:numId w:val="1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Sarflangan titrant hajmiga koʻra xlorid ionlari miqdorini hisoblang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1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Nima uchun Mohr usulida muhit neytralga yaqin boʻlishi kerak?</w:t>
      </w:r>
    </w:p>
    <w:p>
      <w:pPr>
        <w:pStyle w:val="ListParagraph"/>
        <w:numPr>
          <w:ilvl w:val="0"/>
          <w:numId w:val="1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AgCl va Ag2CrO4 choʻkmalarining hosil boʻlish tartibi nimaga asoslanadi?</w:t>
      </w:r>
    </w:p>
    <w:p>
      <w:pPr>
        <w:pStyle w:val="ListParagraph"/>
        <w:numPr>
          <w:ilvl w:val="0"/>
          <w:numId w:val="1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Xromat indikatori qanday ishlaydi?</w:t>
      </w:r>
    </w:p>
    <w:p>
      <w:pPr>
        <w:pStyle w:val="ListParagraph"/>
        <w:numPr>
          <w:ilvl w:val="0"/>
          <w:numId w:val="1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Argentometriya qaysi ionlarni aniqlashda qoʻllanadi?</w:t>
      </w:r>
    </w:p>
    <w:p>
      <w:pPr>
        <w:pStyle w:val="ListParagraph"/>
        <w:numPr>
          <w:ilvl w:val="0"/>
          <w:numId w:val="1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Oxirgi nuqtani aniqlashda qanday xatolar yuz beradi?</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5-laboratoriya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Kompleksometrik tahlil</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EDTA yordamida suvning qattiqligini yoki metall ionlari miqdorini aniqlash koʻnikmasini shakllantirish. Kompleks hosil boʻlish va indikator bilan titrlashni amalda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1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Kompleks birikmalar va barqarorlik konstantasi tushunchasi</w:t>
      </w:r>
    </w:p>
    <w:p>
      <w:pPr>
        <w:pStyle w:val="ListParagraph"/>
        <w:numPr>
          <w:ilvl w:val="0"/>
          <w:numId w:val="1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EDTA ning metall ionlari bilan reaksiyasi</w:t>
      </w:r>
    </w:p>
    <w:p>
      <w:pPr>
        <w:pStyle w:val="ListParagraph"/>
        <w:numPr>
          <w:ilvl w:val="0"/>
          <w:numId w:val="1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Suv qattiqligini titrimetrik aniqlash</w:t>
      </w:r>
    </w:p>
    <w:p>
      <w:pPr>
        <w:pStyle w:val="ListParagraph"/>
        <w:numPr>
          <w:ilvl w:val="0"/>
          <w:numId w:val="1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Natijalarni mmol/L yoki mg-ekv/L da hisoblash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kompleksometriya; EDTA; metall indikator; suv qattiqligi; barqarorlik konstantasi; kompleks hosil boʻlish.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Kompleksometrik tahlilda metall ionlari ligandla, koʻpincha EDTA bilan barqaror kompleks hosil qiladi. EDTA koʻp zaryadli ligand boʻlib, Ca2+ va Mg2+ ionlarini 1:1 nisbatda bogʻlaydi. Erioxrom qora T kabi metall indikatorlar titrlash oxirida rangini oʻzgartirib, ekvivalentlik nuqtasini koʻrsatadi. Usul suvning umumiy qattiqligini, shuningdek ayrim metall ionlar miqdorini aniqlashda keng qoʻllanadi. pH bu usulda muhim omil boʻlib, odatda ammiakli bufer qoʻllanadi.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Byuretka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Erlenmeyer kolbasi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EDTA standart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Ammiak-ammoniy xlorid buferi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Erioxrom qora T indikatori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Suv namunasi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Pipetka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Distillangan suv</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1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Suv namunasidan belgilangan hajmni kolbaga oling</w:t>
      </w:r>
    </w:p>
    <w:p>
      <w:pPr>
        <w:pStyle w:val="ListParagraph"/>
        <w:numPr>
          <w:ilvl w:val="0"/>
          <w:numId w:val="1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Ammiakli bufer va indikator qoʻshing</w:t>
      </w:r>
    </w:p>
    <w:p>
      <w:pPr>
        <w:pStyle w:val="ListParagraph"/>
        <w:numPr>
          <w:ilvl w:val="0"/>
          <w:numId w:val="1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EDTA eritmasi bilan rang oʻzgarishigacha titrlang</w:t>
      </w:r>
    </w:p>
    <w:p>
      <w:pPr>
        <w:pStyle w:val="ListParagraph"/>
        <w:numPr>
          <w:ilvl w:val="0"/>
          <w:numId w:val="1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Sarflangan EDTA hajmini qayd eting</w:t>
      </w:r>
    </w:p>
    <w:p>
      <w:pPr>
        <w:pStyle w:val="ListParagraph"/>
        <w:numPr>
          <w:ilvl w:val="0"/>
          <w:numId w:val="1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Suv qattiqligini hisoblab, natijani meʼyoriy baholang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1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EDTA metall ionlari bilan qanday nisbatda kompleks hosil qiladi?</w:t>
      </w:r>
    </w:p>
    <w:p>
      <w:pPr>
        <w:pStyle w:val="ListParagraph"/>
        <w:numPr>
          <w:ilvl w:val="0"/>
          <w:numId w:val="1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Suv qattiqligi nimani bildiradi?</w:t>
      </w:r>
    </w:p>
    <w:p>
      <w:pPr>
        <w:pStyle w:val="ListParagraph"/>
        <w:numPr>
          <w:ilvl w:val="0"/>
          <w:numId w:val="1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Nima uchun bufer eritma qoʻshiladi?</w:t>
      </w:r>
    </w:p>
    <w:p>
      <w:pPr>
        <w:pStyle w:val="ListParagraph"/>
        <w:numPr>
          <w:ilvl w:val="0"/>
          <w:numId w:val="1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Metall indikatorning roli nimada?</w:t>
      </w:r>
    </w:p>
    <w:p>
      <w:pPr>
        <w:pStyle w:val="ListParagraph"/>
        <w:numPr>
          <w:ilvl w:val="0"/>
          <w:numId w:val="1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Kompleksometrik titrlash qaysi sohalarda qoʻllanadi?</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6-laboratoriya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Gravimetrik tahlil</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choʻkma hosil qilish, filtrlash, quritish va tortish orqali modda miqdorini aniqlash koʻnikmasini shakllantirish. Gravimetrik usulning aniqlik omillarini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1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Gravimetrik tahlilning asosiy bosqichlari</w:t>
      </w:r>
    </w:p>
    <w:p>
      <w:pPr>
        <w:pStyle w:val="ListParagraph"/>
        <w:numPr>
          <w:ilvl w:val="0"/>
          <w:numId w:val="1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Tahliliy choʻkma olish shartlari</w:t>
      </w:r>
    </w:p>
    <w:p>
      <w:pPr>
        <w:pStyle w:val="ListParagraph"/>
        <w:numPr>
          <w:ilvl w:val="0"/>
          <w:numId w:val="1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Filtrlash, yuvish, quritish va doimiy massa gacha tortish</w:t>
      </w:r>
    </w:p>
    <w:p>
      <w:pPr>
        <w:pStyle w:val="ListParagraph"/>
        <w:numPr>
          <w:ilvl w:val="0"/>
          <w:numId w:val="19"/>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Choʻkma massasi boʻyicha analiz natijasini hisoblash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gravimetriya; tahliliy choʻkma; filtrlash; doimiy massa; quritish; yoʻqotish koeffitsienti.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Gravimetrik tahlil moddaning miqdorini ajratib olingan va tarkibi aniq boʻlgan choʻkma massasiga asoslanib aniqlaydi. Avval tahlil qilinadigan ion mos reaktiv bilan kam eruvchan birikma holida choʻktiriladi, soʻng choʻkma filtrlab ajratiladi, yuviladi, quritiladi yoki kuydiriladi. Keyin doimiy massa boʻlguncha tortiladi va stexiometrik hisoblar orqali tahlil qilinayotgan komponent miqdori topiladi. Usul yuqori aniqligi bilan ajralib turadi, biroq koʻp vaqt talab etadi. Choʻkmaning toʻliqligi va ifloslanmasligi asosiy shart hisoblanadi.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Analitik tarozi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Filtr qogʻozi yoki sinterlangan tigel</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Vakuum filtrlash moslamasi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Stakanlar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Qizdirish shkafi yoki mufel pech</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AgNO3 yoki BaCl2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Tahlil qilinadigan namuna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Shisha tayoqcha</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2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Namuna eritmasiga choʻktiruvchi reaktivni sekin qoʻshib, choʻkma hosil qiling</w:t>
      </w:r>
    </w:p>
    <w:p>
      <w:pPr>
        <w:pStyle w:val="ListParagraph"/>
        <w:numPr>
          <w:ilvl w:val="0"/>
          <w:numId w:val="2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Choʻkmaning toʻliq choʻkishini kutib, soʻng filtrlashni bajaring</w:t>
      </w:r>
    </w:p>
    <w:p>
      <w:pPr>
        <w:pStyle w:val="ListParagraph"/>
        <w:numPr>
          <w:ilvl w:val="0"/>
          <w:numId w:val="2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Choʻkmani mos eritma bilan yuvib tozalang</w:t>
      </w:r>
    </w:p>
    <w:p>
      <w:pPr>
        <w:pStyle w:val="ListParagraph"/>
        <w:numPr>
          <w:ilvl w:val="0"/>
          <w:numId w:val="2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Quritish yoki kuydirishdan soʻng doimiy massa gacha torting</w:t>
      </w:r>
    </w:p>
    <w:p>
      <w:pPr>
        <w:pStyle w:val="ListParagraph"/>
        <w:numPr>
          <w:ilvl w:val="0"/>
          <w:numId w:val="20"/>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Choʻkma massasidan tahlil qilinayotgan modda miqdorini hisoblang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2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Gravimetrik tahlilning afzalligi nimada?</w:t>
      </w:r>
    </w:p>
    <w:p>
      <w:pPr>
        <w:pStyle w:val="ListParagraph"/>
        <w:numPr>
          <w:ilvl w:val="0"/>
          <w:numId w:val="2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Nima uchun choʻkmani yuvish kerak?</w:t>
      </w:r>
    </w:p>
    <w:p>
      <w:pPr>
        <w:pStyle w:val="ListParagraph"/>
        <w:numPr>
          <w:ilvl w:val="0"/>
          <w:numId w:val="2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Doimiy massa deganda nima tushuniladi?</w:t>
      </w:r>
    </w:p>
    <w:p>
      <w:pPr>
        <w:pStyle w:val="ListParagraph"/>
        <w:numPr>
          <w:ilvl w:val="0"/>
          <w:numId w:val="2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Choʻkma ifloslanishi natijaga qanday taʼsir qiladi?</w:t>
      </w:r>
    </w:p>
    <w:p>
      <w:pPr>
        <w:pStyle w:val="ListParagraph"/>
        <w:numPr>
          <w:ilvl w:val="0"/>
          <w:numId w:val="21"/>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Qaysi hollarda gravimetrik usul tanlanadi?</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7-laboratoriya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Spektrofotometrik aniqlash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yorugʻlik yutilishi asosida modda konsentratsiyasini aniqlash koʻnikmasini shakllantirish. Beer-Lambert qonunini amaliy qoʻllash va kalibrovka chizigʻini tuzishni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2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Absorbsiya va oʻtkazuvchanlik tushunchalari</w:t>
      </w:r>
    </w:p>
    <w:p>
      <w:pPr>
        <w:pStyle w:val="ListParagraph"/>
        <w:numPr>
          <w:ilvl w:val="0"/>
          <w:numId w:val="2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Beer-Lambert qonuni asosida hisoblash</w:t>
      </w:r>
    </w:p>
    <w:p>
      <w:pPr>
        <w:pStyle w:val="ListParagraph"/>
        <w:numPr>
          <w:ilvl w:val="0"/>
          <w:numId w:val="2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Standart eritmalar qatori tayyorlash</w:t>
      </w:r>
    </w:p>
    <w:p>
      <w:pPr>
        <w:pStyle w:val="ListParagraph"/>
        <w:numPr>
          <w:ilvl w:val="0"/>
          <w:numId w:val="2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Kalibrovka grafigi orqali nomaʼlum namunani aniqlash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absorbsiya; oʻtkazuvchanlik; Beer-Lambert qonuni; kalibrovka chizigʻi; spektrofotometr; maksimal yutilish toʻlqin uzunligi.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Spektrofotometrik tahlil eritmadan oʻtgan yoki eritma tomonidan yutilgan nurlanish intensivligining kamayishiga asoslanadi. Beer-Lambert qonuniga koʻra yutilish A = εbc boʻlib, u konsentratsiya va optik yoʻl uzunligiga proporsional. Avval tahlil qilinayotgan modda uchun maksimal yutilish toʻlqin uzunligi tanlanadi, soʻng standart eritmalar boʻyicha kalibrovka grafigi tuziladi. Shu grafik yordamida nomaʼlum namunaning konsentratsiyasi aniqlanadi. Usul kichik miqdordagi moddalarda yuqori sezgirlik beradi.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UV-Vis spektrofotometr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Kuvetalar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Oʻlchov kolbalari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Pipetkalar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Standart rangli eritmalar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Nomaʼlum namuna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Distillangan suv</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Salfetka yoki filtr qogʻozi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2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Standart eritmalar qatorini tayyorlang</w:t>
      </w:r>
    </w:p>
    <w:p>
      <w:pPr>
        <w:pStyle w:val="ListParagraph"/>
        <w:numPr>
          <w:ilvl w:val="0"/>
          <w:numId w:val="2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Spektrofotometrni yoqing va mos toʻlqin uzunligini tanlang</w:t>
      </w:r>
    </w:p>
    <w:p>
      <w:pPr>
        <w:pStyle w:val="ListParagraph"/>
        <w:numPr>
          <w:ilvl w:val="0"/>
          <w:numId w:val="2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Nol nuqtani distillangan suv bilan sozlang</w:t>
      </w:r>
    </w:p>
    <w:p>
      <w:pPr>
        <w:pStyle w:val="ListParagraph"/>
        <w:numPr>
          <w:ilvl w:val="0"/>
          <w:numId w:val="2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Har bir standart eritmaning absorbansini oʻlchang</w:t>
      </w:r>
    </w:p>
    <w:p>
      <w:pPr>
        <w:pStyle w:val="ListParagraph"/>
        <w:numPr>
          <w:ilvl w:val="0"/>
          <w:numId w:val="2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Kalibrovka chizigʻini tuzing</w:t>
      </w:r>
    </w:p>
    <w:p>
      <w:pPr>
        <w:pStyle w:val="ListParagraph"/>
        <w:numPr>
          <w:ilvl w:val="0"/>
          <w:numId w:val="2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Nomaʼlum namunaning absorbansini oʻlchab, konsentratsiyasini toping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2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Beer-Lambert qonuni nimani ifodalaydi?</w:t>
      </w:r>
    </w:p>
    <w:p>
      <w:pPr>
        <w:pStyle w:val="ListParagraph"/>
        <w:numPr>
          <w:ilvl w:val="0"/>
          <w:numId w:val="2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Nima uchun maksimal yutilish toʻlqin uzunligi tanlanadi?</w:t>
      </w:r>
    </w:p>
    <w:p>
      <w:pPr>
        <w:pStyle w:val="ListParagraph"/>
        <w:numPr>
          <w:ilvl w:val="0"/>
          <w:numId w:val="2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Kalibrovka chizigʻi nima uchun kerak?</w:t>
      </w:r>
    </w:p>
    <w:p>
      <w:pPr>
        <w:pStyle w:val="ListParagraph"/>
        <w:numPr>
          <w:ilvl w:val="0"/>
          <w:numId w:val="2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Kuveta bilan ishlashda qanday ehtiyot choralar koʻriladi?</w:t>
      </w:r>
    </w:p>
    <w:p>
      <w:pPr>
        <w:pStyle w:val="ListParagraph"/>
        <w:numPr>
          <w:ilvl w:val="0"/>
          <w:numId w:val="2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Absorbsiya va oʻtkazuvchanlik oʻrtasida qanday bogʻlanish bor?</w:t>
      </w:r>
    </w:p>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8-laboratoriya ishi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Mavzu: Qogʻoz xromatografiyasi</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Mashgʻulot maqsadi: </w:t>
      </w:r>
      <w:r>
        <w:rPr>
          <w:rFonts w:ascii="Times New Roman" w:cs="Times New Roman" w:eastAsia="Times New Roman" w:hAnsi="Times New Roman"/>
          <w:b w:val="false"/>
          <w:bCs w:val="false"/>
          <w:i w:val="false"/>
          <w:iCs w:val="false"/>
          <w:sz w:val="28"/>
          <w:szCs w:val="28"/>
          <w:lang w:val="uz-Latn-UZ"/>
        </w:rPr>
        <w:t xml:space="preserve">Talabalarda aralashmadagi komponentlarni ajratish va identifikatsiya qilish koʻnikmasini shakllantirish. Rf qiymatini hisoblash hamda moddalarning taqsimlanish xossalarini amalda oʻrganish.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Reja:</w:t>
      </w:r>
    </w:p>
    <w:p>
      <w:pPr>
        <w:pStyle w:val="ListParagraph"/>
        <w:numPr>
          <w:ilvl w:val="0"/>
          <w:numId w:val="2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Xromatografiyaning ajratish prinsipi</w:t>
      </w:r>
    </w:p>
    <w:p>
      <w:pPr>
        <w:pStyle w:val="ListParagraph"/>
        <w:numPr>
          <w:ilvl w:val="0"/>
          <w:numId w:val="2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Statsionar va mobil fazalar</w:t>
      </w:r>
    </w:p>
    <w:p>
      <w:pPr>
        <w:pStyle w:val="ListParagraph"/>
        <w:numPr>
          <w:ilvl w:val="0"/>
          <w:numId w:val="2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Aralashma komponentlarini qogʻozda ajratish</w:t>
      </w:r>
    </w:p>
    <w:p>
      <w:pPr>
        <w:pStyle w:val="ListParagraph"/>
        <w:numPr>
          <w:ilvl w:val="0"/>
          <w:numId w:val="2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Rf qiymatini hisoblash va natijani tahlil qilish</w:t>
      </w:r>
    </w:p>
    <w:p>
      <w:pPr>
        <w:spacing w:after="20" w:before="20" w:line="360" w:lineRule="auto"/>
        <w:jc w:val="left"/>
      </w:pPr>
      <w:r>
        <w:rPr>
          <w:rFonts w:ascii="Times New Roman" w:cs="Times New Roman" w:eastAsia="Times New Roman" w:hAnsi="Times New Roman"/>
          <w:b/>
          <w:bCs/>
          <w:i w:val="false"/>
          <w:iCs w:val="false"/>
          <w:sz w:val="28"/>
          <w:szCs w:val="28"/>
          <w:lang w:val="uz-Latn-UZ"/>
        </w:rPr>
        <w:t xml:space="preserve">Tayanch tushunchalar: </w:t>
      </w:r>
      <w:r>
        <w:rPr>
          <w:rFonts w:ascii="Times New Roman" w:cs="Times New Roman" w:eastAsia="Times New Roman" w:hAnsi="Times New Roman"/>
          <w:b w:val="false"/>
          <w:bCs w:val="false"/>
          <w:i w:val="false"/>
          <w:iCs w:val="false"/>
          <w:sz w:val="28"/>
          <w:szCs w:val="28"/>
          <w:lang w:val="uz-Latn-UZ"/>
        </w:rPr>
        <w:t xml:space="preserve">xromatografiya; statsionar faza; mobil faza; Rf qiymati; kapillyar koʻtarilish; ajratish koeffitsienti.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Qisqacha nazariy maʼlumot: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Qogʻoz xromatografiyasi moddalarning statsionar faza va mobil faza oʻrtasidagi turlicha taqsimlanishiga asoslanadi. Erituvchi qogʻoz boʻylab kapillyar kuchlar taʼsirida koʻtariladi va aralashma komponentlari turli tezlikda harakat qilib, alohida dogʻlar hosil qiladi. Har bir modda uchun Rf qiymati dogʻ markazi bosib oʻtgan masofaning erituvchi fronti masofasiga nisbatidan iborat. Bu usul sifat tahlilida, ayniqsa rangli yoki kuchli boʻyalgan komponentlarni ajratishda qulay. Erituvchi tarkibi va qogʻoz turi ajratish sifatiga taʼsir koʻrsatadi.</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Kerakli jihozlar va materiallar:</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Xromatografik qogʻoz</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Stakan yoki xromatografik kamera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Erituvchi aralashmasi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Kapillyar naycha yoki mikroprits</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Namuna eritmasi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Qalam va lineyka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Qisqich</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Quritish uchun havoda ushlagich</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Ishni bajarish tartibi:</w:t>
      </w:r>
    </w:p>
    <w:p>
      <w:pPr>
        <w:pStyle w:val="ListParagraph"/>
        <w:numPr>
          <w:ilvl w:val="0"/>
          <w:numId w:val="2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Xromatografik qogʻozga boshlangʻich chiziq chizing</w:t>
      </w:r>
    </w:p>
    <w:p>
      <w:pPr>
        <w:pStyle w:val="ListParagraph"/>
        <w:numPr>
          <w:ilvl w:val="0"/>
          <w:numId w:val="2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Namuna tomchasini chiziqqa kapillyar yordamida tushiring</w:t>
      </w:r>
    </w:p>
    <w:p>
      <w:pPr>
        <w:pStyle w:val="ListParagraph"/>
        <w:numPr>
          <w:ilvl w:val="0"/>
          <w:numId w:val="2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Qogʻozni erituvchi bor kameraga joylashtiring, dogʻ erituvchiga botmasin</w:t>
      </w:r>
    </w:p>
    <w:p>
      <w:pPr>
        <w:pStyle w:val="ListParagraph"/>
        <w:numPr>
          <w:ilvl w:val="0"/>
          <w:numId w:val="2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Erituvchi fronti kerakli masofaga yetgach qogʻozni oling va quriting</w:t>
      </w:r>
    </w:p>
    <w:p>
      <w:pPr>
        <w:pStyle w:val="ListParagraph"/>
        <w:numPr>
          <w:ilvl w:val="0"/>
          <w:numId w:val="2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Dogʻlar masofasini oʻlchab, Rf qiymatlarini hisoblang</w:t>
      </w:r>
    </w:p>
    <w:p>
      <w:pPr>
        <w:pStyle w:val="ListParagraph"/>
        <w:numPr>
          <w:ilvl w:val="0"/>
          <w:numId w:val="2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Olingan Rf boʻyicha komponentlarni solishtiring</w:t>
      </w:r>
    </w:p>
    <w:p>
      <w:pPr>
        <w:spacing w:after="20" w:before="80" w:line="360" w:lineRule="auto"/>
        <w:jc w:val="left"/>
      </w:pPr>
      <w:r>
        <w:rPr>
          <w:rFonts w:ascii="Times New Roman" w:cs="Times New Roman" w:eastAsia="Times New Roman" w:hAnsi="Times New Roman"/>
          <w:b/>
          <w:bCs/>
          <w:i w:val="false"/>
          <w:iCs w:val="false"/>
          <w:sz w:val="28"/>
          <w:szCs w:val="28"/>
          <w:lang w:val="uz-Latn-UZ"/>
        </w:rPr>
        <w:t xml:space="preserve">Nazorat savollari:</w:t>
      </w:r>
    </w:p>
    <w:p>
      <w:pPr>
        <w:pStyle w:val="ListParagraph"/>
        <w:numPr>
          <w:ilvl w:val="0"/>
          <w:numId w:val="2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Statsionar va mobil fazalar nimani anglatadi?</w:t>
      </w:r>
    </w:p>
    <w:p>
      <w:pPr>
        <w:pStyle w:val="ListParagraph"/>
        <w:numPr>
          <w:ilvl w:val="0"/>
          <w:numId w:val="2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Rf qiymati qanday hisoblanadi?</w:t>
      </w:r>
    </w:p>
    <w:p>
      <w:pPr>
        <w:pStyle w:val="ListParagraph"/>
        <w:numPr>
          <w:ilvl w:val="0"/>
          <w:numId w:val="2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Nima uchun namuna boshlangʻich chiziqdan yuqoriga qoʻyiladi?</w:t>
      </w:r>
    </w:p>
    <w:p>
      <w:pPr>
        <w:pStyle w:val="ListParagraph"/>
        <w:numPr>
          <w:ilvl w:val="0"/>
          <w:numId w:val="2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Erituvchi tarkibi ajratishga qanday taʼsir qiladi?</w:t>
      </w:r>
    </w:p>
    <w:p>
      <w:pPr>
        <w:pStyle w:val="ListParagraph"/>
        <w:numPr>
          <w:ilvl w:val="0"/>
          <w:numId w:val="2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Qogʻoz xromatografiyasi qaysi tahlil turiga kiradi?</w:t>
      </w:r>
    </w:p>
    <w:p>
      <w:pPr>
        <w:pStyle w:val="Heading1"/>
        <w:keepNext/>
        <w:pageBreakBefore/>
        <w:spacing w:after="100" w:before="240" w:line="360" w:lineRule="auto"/>
        <w:jc w:val="left"/>
      </w:pPr>
      <w:r>
        <w:rPr>
          <w:rFonts w:ascii="Times New Roman" w:cs="Times New Roman" w:eastAsia="Times New Roman" w:hAnsi="Times New Roman"/>
          <w:b/>
          <w:bCs/>
          <w:i w:val="false"/>
          <w:iCs w:val="false"/>
          <w:sz w:val="28"/>
          <w:szCs w:val="28"/>
          <w:lang w:val="uz-Latn-UZ"/>
        </w:rPr>
        <w:t xml:space="preserve">GLOSSARIY</w:t>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2806"/>
        <w:gridCol w:w="6548"/>
      </w:tblGrid>
      <w:tr>
        <w:trPr>
          <w:cantSplit/>
          <w:tblHeader/>
        </w:trPr>
        <w:tc>
          <w:tcPr>
            <w:tcW w:type="dxa" w:w="2806"/>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Atama</w:t>
            </w:r>
          </w:p>
        </w:tc>
        <w:tc>
          <w:tcPr>
            <w:tcW w:type="dxa" w:w="6548"/>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Taʼrif</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Analitik reaksiya</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Moddani sifat jihatdan aniqlash yoki uning mavjudligini tasdiqlash uchun qoʻllaniladigan kimyoviy reaksiya. Bunday reaksiya odatda rang oʻzgarishi, choʻkma hosil boʻlishi yoki gaz ajralishi bilan kuzatiladi.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Sifat tahlili</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Namuna tarkibida qaysi ionlar, elementlar yoki birikmalar borligini aniqlashga qaratilgan tahlil turi. U kuzatuvlar va xos reaksiyalar asosida bajariladi.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Miqdoriy tahlil</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Modda tarkibidagi komponent miqdorini yoki konsentratsiyasini aniqlash usullari majmui. Natija odatda massa ulushi, molyar konsentratsiya yoki foiz koʻrinishida ifodalanadi.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Titrimetrik tahlil</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Analit miqdorini maʼlum konsentratsiyali titrant bilan reaksiya tugaguncha sarflangan hajm orqali aniqlash usuli. Bu usul yuqori aniqligi va nisbatan oddiy bajarilishi bilan ajralib turadi.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Titrlash nuqtasi</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Titrlash jarayonida analit va titrant ekvivalent miqdorlarda reaksiyaga kirishadigan nuqta. U indikator, potensiometrik yoki boshqa instrumental belgilar bilan aniqlanadi.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Ekvivalentlik nuqtasi</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Reaksiya tenglamasiga koʻra analit va titrantning stexiometrik nisbatda toʻliq oʻzaro taʼsirlashgan holati. Bu nuqta titrlashning nazariy yakunini bildiradi.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Indikator</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Muhitning pH yoki redoks holatiga qarab rangini oʻzgartiruvchi modda. U titrlash yakuniy nuqtasini aniqlashda xizmat qiladi.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Standart eritma</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Konsentratsiyasi aniq maʼlum boʻlgan eritma. U miqdoriy tahlilda titrant sifatida yoki asbobni kalibrlashda qoʻllaniladi.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Kalibrlash</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Asbob koʻrsatkichlarini maʼlum etalon qiymatlar bilan taqqoslab sozlash jarayoni. Kalibrlash oʻlchash natijalarining ishonchliligini oshiradi.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Aniqlik</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Oʻlchash natijasining haqiqiy qiymatga yaqinlik darajasi. Aniqlik xatoliklar kichik boʻlganda yuqori boʻladi.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Takroriylik</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Bir xil sharoitda qayta oʻlchashlarda natijalarning bir-biriga yaqin boʻlishi. Bu laboratoriya ishining barqarorligini ifodalaydi.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Nomaʼlum namuna</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Tarkibi yoki konsentratsiyasi oldindan aniq boʻlmagan tahlil obyekti. Laboratoriya mashgʻulotlarida aynan shu namuna ustida identifikatsiya va miqdoriy aniqlash bajariladi.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Choʻkma</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Eritmadan eruvchanligi past boʻlgan qattiq faza ajralib chiqishi natijasida hosil boʻladigan mahsulot. Choʻkma hosil boʻlishi sifat tahlilida muhim belgi hisoblanadi.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Molyar konsentratsiya</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Eritmaning bir litr hajmida necha mol erigan modda borligini koʻrsatadigan kattalik. U mol/L birlikda ifodalanadi.</w:t>
            </w:r>
          </w:p>
        </w:tc>
      </w:tr>
      <w:tr>
        <w:trPr>
          <w:cantSplit/>
          <w:tblHeader w:val="false"/>
        </w:trPr>
        <w:tc>
          <w:tcPr>
            <w:tcW w:type="dxa" w:w="280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Xatolik</w:t>
            </w:r>
          </w:p>
        </w:tc>
        <w:tc>
          <w:tcPr>
            <w:tcW w:type="dxa" w:w="654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Oʻlchangan qiymat bilan haqiqiy yoki qabul qilingan qiymat orasidagi farq. Xatolik mutlaq yoki nisbiy koʻrinishda baholanadi.</w:t>
            </w:r>
          </w:p>
        </w:tc>
      </w:tr>
    </w:tbl>
    <w:p>
      <w:pPr>
        <w:pStyle w:val="Heading1"/>
        <w:keepNext/>
        <w:spacing w:after="100" w:before="240" w:line="360" w:lineRule="auto"/>
        <w:jc w:val="left"/>
      </w:pPr>
      <w:r>
        <w:rPr>
          <w:rFonts w:ascii="Times New Roman" w:cs="Times New Roman" w:eastAsia="Times New Roman" w:hAnsi="Times New Roman"/>
          <w:b/>
          <w:bCs/>
          <w:i w:val="false"/>
          <w:iCs w:val="false"/>
          <w:sz w:val="28"/>
          <w:szCs w:val="28"/>
          <w:lang w:val="uz-Latn-UZ"/>
        </w:rPr>
        <w:t xml:space="preserve">FOYDALANILGAN ADABIYOTLAR</w:t>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561"/>
        <w:gridCol w:w="3929"/>
        <w:gridCol w:w="2058"/>
        <w:gridCol w:w="1871"/>
        <w:gridCol w:w="935"/>
      </w:tblGrid>
      <w:tr>
        <w:trPr>
          <w:cantSplit/>
          <w:tblHeader/>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w:t>
            </w:r>
          </w:p>
        </w:tc>
        <w:tc>
          <w:tcPr>
            <w:tcW w:type="dxa" w:w="3929"/>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Adabiyot nomi</w:t>
            </w:r>
          </w:p>
        </w:tc>
        <w:tc>
          <w:tcPr>
            <w:tcW w:type="dxa" w:w="2058"/>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Muallif</w:t>
            </w:r>
          </w:p>
        </w:tc>
        <w:tc>
          <w:tcPr>
            <w:tcW w:type="dxa" w:w="187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Nashriyot nomi</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Nashr yili</w:t>
            </w:r>
          </w:p>
        </w:tc>
      </w:tr>
      <w:tr>
        <w:trPr>
          <w:cantSplit/>
          <w:tblHeader w:val="false"/>
        </w:trPr>
        <w:tc>
          <w:tcPr>
            <w:tcW w:type="dxa" w:w="9354"/>
            <w:gridSpan w:val="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Asosiy adabiyotlar</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w:t>
            </w:r>
          </w:p>
        </w:tc>
        <w:tc>
          <w:tcPr>
            <w:tcW w:type="dxa" w:w="392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Fundamentals of Analytical Chemistry</w:t>
            </w:r>
          </w:p>
        </w:tc>
        <w:tc>
          <w:tcPr>
            <w:tcW w:type="dxa" w:w="205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Douglas A. Skoog, Donald M. West, F. James Holler, Stanley R. Crouch</w:t>
            </w:r>
          </w:p>
        </w:tc>
        <w:tc>
          <w:tcPr>
            <w:tcW w:type="dxa" w:w="187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Cengage Learning, Boston</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2014</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392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Quantitative Chemical Analysis</w:t>
            </w:r>
          </w:p>
        </w:tc>
        <w:tc>
          <w:tcPr>
            <w:tcW w:type="dxa" w:w="205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Daniel C. Harris</w:t>
            </w:r>
          </w:p>
        </w:tc>
        <w:tc>
          <w:tcPr>
            <w:tcW w:type="dxa" w:w="187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W. H. Freeman and Company, New York</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2015</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3</w:t>
            </w:r>
          </w:p>
        </w:tc>
        <w:tc>
          <w:tcPr>
            <w:tcW w:type="dxa" w:w="392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Analytical Chemistry</w:t>
            </w:r>
          </w:p>
        </w:tc>
        <w:tc>
          <w:tcPr>
            <w:tcW w:type="dxa" w:w="205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Gary D. Christian, Purnendu K. Dasgupta, Kevin A. Schug</w:t>
            </w:r>
          </w:p>
        </w:tc>
        <w:tc>
          <w:tcPr>
            <w:tcW w:type="dxa" w:w="187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John Wiley &amp; Sons, Hoboken</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2014</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392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Vogel's Textbook of Quantitative Chemical Analysis</w:t>
            </w:r>
          </w:p>
        </w:tc>
        <w:tc>
          <w:tcPr>
            <w:tcW w:type="dxa" w:w="205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G. H. Jeffery, J. Bassett, J. Mendham, R. C. Denney</w:t>
            </w:r>
          </w:p>
        </w:tc>
        <w:tc>
          <w:tcPr>
            <w:tcW w:type="dxa" w:w="187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Pearson Education, Harlow</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2000</w:t>
            </w:r>
          </w:p>
        </w:tc>
      </w:tr>
      <w:tr>
        <w:trPr>
          <w:cantSplit/>
          <w:tblHeader w:val="false"/>
        </w:trPr>
        <w:tc>
          <w:tcPr>
            <w:tcW w:type="dxa" w:w="9354"/>
            <w:gridSpan w:val="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Qoʻshimcha adabiyotlar</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392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Principles of Instrumental Analysis</w:t>
            </w:r>
          </w:p>
        </w:tc>
        <w:tc>
          <w:tcPr>
            <w:tcW w:type="dxa" w:w="205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Douglas A. Skoog, F. James Holler, Stanley R. Crouch</w:t>
            </w:r>
          </w:p>
        </w:tc>
        <w:tc>
          <w:tcPr>
            <w:tcW w:type="dxa" w:w="187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Cengage Learning, Boston</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2018</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c>
          <w:tcPr>
            <w:tcW w:type="dxa" w:w="392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Standard Methods for the Examination of Water and Wastewater</w:t>
            </w:r>
          </w:p>
        </w:tc>
        <w:tc>
          <w:tcPr>
            <w:tcW w:type="dxa" w:w="205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Rice, Eugene W., Baird, Rodger B., Eaton, Andrew D., Clesceri, Lenore S. (eds.)</w:t>
            </w:r>
          </w:p>
        </w:tc>
        <w:tc>
          <w:tcPr>
            <w:tcW w:type="dxa" w:w="187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American Public Health Association, Washington, DC</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2012</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7</w:t>
            </w:r>
          </w:p>
        </w:tc>
        <w:tc>
          <w:tcPr>
            <w:tcW w:type="dxa" w:w="392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Analytical Chemistry: A Practical Approach</w:t>
            </w:r>
          </w:p>
        </w:tc>
        <w:tc>
          <w:tcPr>
            <w:tcW w:type="dxa" w:w="2058"/>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F. W. Fifield, D. Kealey</w:t>
            </w:r>
          </w:p>
        </w:tc>
        <w:tc>
          <w:tcPr>
            <w:tcW w:type="dxa" w:w="187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Blackwell Science, Oxford</w:t>
            </w:r>
          </w:p>
        </w:tc>
        <w:tc>
          <w:tcPr>
            <w:tcW w:type="dxa" w:w="93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2000</w:t>
            </w:r>
          </w:p>
        </w:tc>
      </w:tr>
      <w:tr>
        <w:trPr>
          <w:cantSplit/>
          <w:tblHeader w:val="false"/>
        </w:trPr>
        <w:tc>
          <w:tcPr>
            <w:tcW w:type="dxa" w:w="9354"/>
            <w:gridSpan w:val="5"/>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Internet saytlari va axborot manbalari</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8</w:t>
            </w:r>
          </w:p>
        </w:tc>
        <w:tc>
          <w:tcPr>
            <w:tcW w:type="dxa" w:w="8793"/>
            <w:gridSpan w:val="4"/>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https://goldbook.iupac.org</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9</w:t>
            </w:r>
          </w:p>
        </w:tc>
        <w:tc>
          <w:tcPr>
            <w:tcW w:type="dxa" w:w="8793"/>
            <w:gridSpan w:val="4"/>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https://webbook.nist.gov/chemistry/</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10</w:t>
            </w:r>
          </w:p>
        </w:tc>
        <w:tc>
          <w:tcPr>
            <w:tcW w:type="dxa" w:w="8793"/>
            <w:gridSpan w:val="4"/>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https://pubchem.ncbi.nlm.nih.gov/</w:t>
            </w:r>
          </w:p>
        </w:tc>
      </w:tr>
      <w:tr>
        <w:trPr>
          <w:cantSplit/>
          <w:tblHeader w:val="false"/>
        </w:trPr>
        <w:tc>
          <w:tcPr>
            <w:tcW w:type="dxa" w:w="56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11</w:t>
            </w:r>
          </w:p>
        </w:tc>
        <w:tc>
          <w:tcPr>
            <w:tcW w:type="dxa" w:w="8793"/>
            <w:gridSpan w:val="4"/>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https://chem.libretexts.org/</w:t>
            </w:r>
          </w:p>
        </w:tc>
      </w:tr>
    </w:tbl>
    <w:p>
      <w:pPr>
        <w:keepNext/>
        <w:pageBreakBefore/>
        <w:spacing w:after="120" w:before="240" w:line="360" w:lineRule="auto"/>
        <w:jc w:val="center"/>
      </w:pPr>
      <w:r>
        <w:rPr>
          <w:rFonts w:ascii="Times New Roman" w:cs="Times New Roman" w:eastAsia="Times New Roman" w:hAnsi="Times New Roman"/>
          <w:b/>
          <w:bCs/>
          <w:i w:val="false"/>
          <w:iCs w:val="false"/>
          <w:sz w:val="28"/>
          <w:szCs w:val="28"/>
          <w:lang w:val="uz-Latn-UZ"/>
        </w:rPr>
        <w:t xml:space="preserve">MUNDARIJA</w:t>
      </w:r>
    </w:p>
    <w:sdt>
      <w:sdtPr>
        <w:alias w:val="MUNDARIJA"/>
      </w:sdtPr>
      <w:sdtContent>
        <w:p>
          <w:r>
            <w:fldChar w:fldCharType="begin" w:dirty="true"/>
            <w:instrText xml:space="preserve">TOC \h \o "1-1"</w:instrText>
            <w:fldChar w:fldCharType="separate"/>
          </w:r>
        </w:p>
        <w:p>
          <w:r>
            <w:fldChar w:fldCharType="end"/>
          </w:r>
        </w:p>
      </w:sdtContent>
    </w:sdt>
    <w:sectPr>
      <w:pgSz w:w="11906" w:h="16838" w:orient="portrait"/>
      <w:pgMar w:top="1418" w:right="851" w:bottom="1418"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rPr>
        <w:rFonts w:ascii="Times New Roman" w:cs="Times New Roman" w:eastAsia="Times New Roman" w:hAnsi="Times New Roman"/>
        <w:sz w:val="28"/>
        <w:szCs w:val="28"/>
      </w:rPr>
    </w:lvl>
  </w:abstractNum>
  <w:abstractNum w:abstractNumId="3" w15:restartNumberingAfterBreak="0">
    <w:multiLevelType w:val="hybridMultilevel"/>
    <w:lvl w:ilvl="0" w15:tentative="1">
      <w:start w:val="1"/>
      <w:numFmt w:val="bullet"/>
      <w:lvlText w:val="•"/>
      <w:lvlJc w:val="left"/>
      <w:pPr>
        <w:ind w:left="720" w:hanging="360"/>
      </w:pPr>
      <w:rPr>
        <w:rFonts w:ascii="Times New Roman" w:cs="Times New Roman" w:eastAsia="Times New Roman" w:hAnsi="Times New Roman"/>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2"/>
    <w:lvlOverride w:ilvl="0">
      <w:startOverride w:val="1"/>
    </w:lvlOverride>
  </w:num>
  <w:num w:numId="2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autoHyphenation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imes New Roman" w:cs="Times New Roman" w:eastAsia="Times New Roman" w:hAnsi="Times New Roman"/>
      <w:b/>
      <w:b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Analitik kimyo</dc:title>
  <dc:creator>Tadqiq.uz</dc:creator>
  <cp:lastModifiedBy>Un-named</cp:lastModifiedBy>
  <cp:revision>1</cp:revision>
  <dcterms:created xsi:type="dcterms:W3CDTF">2026-07-15T09:41:49.322Z</dcterms:created>
  <dcterms:modified xsi:type="dcterms:W3CDTF">2026-07-15T09:41:49.322Z</dcterms:modified>
</cp:coreProperties>
</file>

<file path=docProps/custom.xml><?xml version="1.0" encoding="utf-8"?>
<Properties xmlns="http://schemas.openxmlformats.org/officeDocument/2006/custom-properties" xmlns:vt="http://schemas.openxmlformats.org/officeDocument/2006/docPropsVTypes"/>
</file>